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070D62BA" w:rsidR="00C869F3" w:rsidRDefault="00277052" w:rsidP="00C869F3">
      <w:pPr>
        <w:spacing w:after="480"/>
      </w:pPr>
      <w:r>
        <w:rPr>
          <w:noProof/>
        </w:rPr>
        <w:drawing>
          <wp:inline distT="0" distB="0" distL="0" distR="0" wp14:anchorId="279131EB" wp14:editId="0834CEA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5348342A" w:rsidR="00333FAA" w:rsidRPr="005E3A10" w:rsidRDefault="00713386" w:rsidP="00A53B04">
            <w:pPr>
              <w:rPr>
                <w:rFonts w:cs="Arial"/>
                <w:szCs w:val="24"/>
              </w:rPr>
            </w:pPr>
            <w:r>
              <w:rPr>
                <w:rFonts w:cs="Arial"/>
                <w:szCs w:val="24"/>
              </w:rPr>
              <w:t>29</w:t>
            </w:r>
            <w:r w:rsidRPr="00713386">
              <w:rPr>
                <w:rFonts w:cs="Arial"/>
                <w:szCs w:val="24"/>
                <w:vertAlign w:val="superscript"/>
              </w:rPr>
              <w:t>th</w:t>
            </w:r>
            <w:r>
              <w:rPr>
                <w:rFonts w:cs="Arial"/>
                <w:szCs w:val="24"/>
              </w:rPr>
              <w:t xml:space="preserve"> June 2023</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23BE48E" w14:textId="371B756E" w:rsidR="00333FAA" w:rsidRPr="00D23061" w:rsidRDefault="0033309A" w:rsidP="00A53B04">
            <w:pPr>
              <w:rPr>
                <w:rFonts w:cs="Arial"/>
                <w:szCs w:val="24"/>
              </w:rPr>
            </w:pPr>
            <w:r w:rsidRPr="00D23061">
              <w:rPr>
                <w:rFonts w:cs="Arial"/>
                <w:szCs w:val="24"/>
              </w:rPr>
              <w:t>Adult Social Care Provider Inflationary Up-lifts</w:t>
            </w:r>
          </w:p>
          <w:p w14:paraId="6D8FB2C1" w14:textId="3DA446C6" w:rsidR="0033309A" w:rsidRPr="00713386" w:rsidRDefault="0033309A" w:rsidP="00A53B04">
            <w:pPr>
              <w:rPr>
                <w:rFonts w:cs="Arial"/>
                <w:b/>
                <w:bCs/>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428EB267" w14:textId="4EA5C43C" w:rsidR="00713386" w:rsidRPr="001B5C73" w:rsidRDefault="00713386" w:rsidP="00713386">
            <w:pPr>
              <w:rPr>
                <w:rFonts w:cs="Arial"/>
                <w:color w:val="000000"/>
                <w:szCs w:val="24"/>
                <w:lang w:val="en-US"/>
              </w:rPr>
            </w:pPr>
            <w:r>
              <w:rPr>
                <w:szCs w:val="24"/>
              </w:rPr>
              <w:t xml:space="preserve">Key </w:t>
            </w:r>
            <w:r w:rsidR="0033309A">
              <w:rPr>
                <w:szCs w:val="24"/>
              </w:rPr>
              <w:t>d</w:t>
            </w:r>
            <w:r>
              <w:rPr>
                <w:szCs w:val="24"/>
              </w:rPr>
              <w:t xml:space="preserve">ecision </w:t>
            </w:r>
            <w:r w:rsidR="00D23061">
              <w:rPr>
                <w:szCs w:val="24"/>
              </w:rPr>
              <w:t>as it</w:t>
            </w:r>
            <w:r>
              <w:rPr>
                <w:szCs w:val="24"/>
              </w:rPr>
              <w:t xml:space="preserve"> </w:t>
            </w:r>
            <w:r w:rsidRPr="001B5C73">
              <w:rPr>
                <w:rFonts w:cs="Arial"/>
                <w:color w:val="000000"/>
                <w:szCs w:val="24"/>
                <w:lang w:val="en-US"/>
              </w:rPr>
              <w:t xml:space="preserve">effects </w:t>
            </w:r>
            <w:r w:rsidRPr="00766033">
              <w:rPr>
                <w:rFonts w:cs="Arial"/>
                <w:szCs w:val="24"/>
              </w:rPr>
              <w:t>communities living or working in an area of two or more wards of the Borough</w:t>
            </w:r>
            <w:r>
              <w:rPr>
                <w:rFonts w:cs="Arial"/>
                <w:szCs w:val="24"/>
              </w:rPr>
              <w:t xml:space="preserve"> and has a revenue value of over £500k.</w:t>
            </w:r>
            <w:r w:rsidRPr="001B5C73">
              <w:rPr>
                <w:rFonts w:cs="Arial"/>
                <w:color w:val="000000"/>
                <w:szCs w:val="24"/>
                <w:lang w:val="en-US"/>
              </w:rPr>
              <w:t xml:space="preserve"> </w:t>
            </w:r>
          </w:p>
          <w:p w14:paraId="3EADF2B3" w14:textId="77777777" w:rsidR="00333FAA" w:rsidRPr="005E3A10" w:rsidRDefault="00333FAA" w:rsidP="00A53B04">
            <w:pPr>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275CB0C3" w:rsidR="001C7E35" w:rsidRPr="005E3A10" w:rsidRDefault="00713386" w:rsidP="00D835CF">
            <w:pPr>
              <w:pStyle w:val="Infotext"/>
              <w:rPr>
                <w:rFonts w:cs="Arial"/>
                <w:sz w:val="24"/>
                <w:szCs w:val="24"/>
              </w:rPr>
            </w:pPr>
            <w:r>
              <w:rPr>
                <w:rFonts w:cs="Arial"/>
                <w:sz w:val="24"/>
                <w:szCs w:val="24"/>
              </w:rPr>
              <w:t>Senel Arkut</w:t>
            </w:r>
            <w:r w:rsidR="00D23061">
              <w:rPr>
                <w:rFonts w:cs="Arial"/>
                <w:sz w:val="24"/>
                <w:szCs w:val="24"/>
              </w:rPr>
              <w:t xml:space="preserve"> - </w:t>
            </w:r>
            <w:r>
              <w:rPr>
                <w:rFonts w:cs="Arial"/>
                <w:sz w:val="24"/>
                <w:szCs w:val="24"/>
              </w:rPr>
              <w:t>Corporate Director, People Services</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39A9A01A" w14:textId="6FD41581" w:rsidR="001C7E35" w:rsidRPr="00B23445" w:rsidRDefault="00713386" w:rsidP="00D835CF">
            <w:pPr>
              <w:pStyle w:val="Infotext"/>
              <w:rPr>
                <w:rFonts w:cs="Arial"/>
                <w:sz w:val="24"/>
                <w:szCs w:val="24"/>
              </w:rPr>
            </w:pPr>
            <w:r w:rsidRPr="00B23445">
              <w:rPr>
                <w:rFonts w:cs="Arial"/>
                <w:sz w:val="24"/>
                <w:szCs w:val="24"/>
              </w:rPr>
              <w:t>Councillor Pritesh Patel</w:t>
            </w:r>
            <w:r w:rsidR="00D23061">
              <w:rPr>
                <w:rFonts w:cs="Arial"/>
                <w:sz w:val="24"/>
                <w:szCs w:val="24"/>
              </w:rPr>
              <w:t xml:space="preserve"> - </w:t>
            </w:r>
            <w:r w:rsidRPr="00B23445">
              <w:rPr>
                <w:rFonts w:cs="Arial"/>
                <w:sz w:val="24"/>
                <w:szCs w:val="24"/>
              </w:rPr>
              <w:t xml:space="preserve">Portfolio Holder for Adult </w:t>
            </w:r>
            <w:r w:rsidR="00D23061">
              <w:rPr>
                <w:rFonts w:cs="Arial"/>
                <w:sz w:val="24"/>
                <w:szCs w:val="24"/>
              </w:rPr>
              <w:t>Services</w:t>
            </w:r>
            <w:r w:rsidRPr="00B23445">
              <w:rPr>
                <w:rFonts w:cs="Arial"/>
                <w:sz w:val="24"/>
                <w:szCs w:val="24"/>
              </w:rPr>
              <w:t xml:space="preserve"> and Public Health</w:t>
            </w: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1C36DF04" w:rsidR="001C7E35" w:rsidRPr="00B23445" w:rsidRDefault="001C7E35" w:rsidP="00D835CF">
            <w:pPr>
              <w:pStyle w:val="Infotext"/>
              <w:rPr>
                <w:rFonts w:cs="Arial"/>
                <w:sz w:val="24"/>
                <w:szCs w:val="24"/>
              </w:rPr>
            </w:pPr>
            <w:r w:rsidRPr="00B23445">
              <w:rPr>
                <w:rFonts w:cs="Arial"/>
                <w:sz w:val="24"/>
                <w:szCs w:val="24"/>
              </w:rPr>
              <w:t>No</w:t>
            </w:r>
          </w:p>
          <w:p w14:paraId="755E47D1" w14:textId="77777777" w:rsidR="001C7E35" w:rsidRPr="00B23445" w:rsidRDefault="001C7E35" w:rsidP="00713386">
            <w:pPr>
              <w:pStyle w:val="Infotext"/>
              <w:rPr>
                <w:rFonts w:cs="Arial"/>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00164CA3" w:rsidR="00714BEE" w:rsidRPr="00B23445" w:rsidRDefault="001C7E35" w:rsidP="00713386">
            <w:pPr>
              <w:pStyle w:val="Infotext"/>
              <w:rPr>
                <w:rFonts w:cs="Arial"/>
                <w:szCs w:val="24"/>
              </w:rPr>
            </w:pPr>
            <w:r w:rsidRPr="00B23445">
              <w:rPr>
                <w:rFonts w:cs="Arial"/>
                <w:sz w:val="24"/>
                <w:szCs w:val="24"/>
              </w:rPr>
              <w:t xml:space="preserve">Yes </w:t>
            </w: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37290BC7" w:rsidR="00307F76" w:rsidRPr="00B23445" w:rsidRDefault="00713386" w:rsidP="00D835CF">
            <w:pPr>
              <w:rPr>
                <w:rFonts w:cs="Arial"/>
                <w:b/>
                <w:szCs w:val="24"/>
              </w:rPr>
            </w:pPr>
            <w:r w:rsidRPr="00B23445">
              <w:rPr>
                <w:rFonts w:cs="Arial"/>
                <w:szCs w:val="24"/>
              </w:rPr>
              <w:t>All Wards</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6668D730" w14:textId="33B080D2" w:rsidR="001C7E35" w:rsidRPr="00B23445" w:rsidRDefault="00713386" w:rsidP="00DB6C3D">
            <w:pPr>
              <w:pStyle w:val="Infotext"/>
              <w:rPr>
                <w:sz w:val="24"/>
                <w:szCs w:val="24"/>
              </w:rPr>
            </w:pPr>
            <w:r w:rsidRPr="00B23445">
              <w:rPr>
                <w:rFonts w:cs="Arial"/>
                <w:sz w:val="24"/>
                <w:szCs w:val="24"/>
              </w:rPr>
              <w:t>None</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03C1A1D8" w14:textId="51E0AE92" w:rsidR="006762E4" w:rsidRDefault="000C6E90" w:rsidP="006762E4">
            <w:pPr>
              <w:pStyle w:val="ListParagraph"/>
              <w:spacing w:line="276" w:lineRule="auto"/>
              <w:ind w:left="0"/>
              <w:rPr>
                <w:rFonts w:cs="Arial"/>
                <w:szCs w:val="24"/>
              </w:rPr>
            </w:pPr>
            <w:r w:rsidRPr="006762E4">
              <w:rPr>
                <w:rFonts w:cs="Arial"/>
                <w:szCs w:val="24"/>
              </w:rPr>
              <w:t xml:space="preserve">This </w:t>
            </w:r>
            <w:r>
              <w:rPr>
                <w:rFonts w:cs="Arial"/>
                <w:szCs w:val="24"/>
              </w:rPr>
              <w:t>report</w:t>
            </w:r>
            <w:r w:rsidR="006762E4">
              <w:rPr>
                <w:rFonts w:cs="Arial"/>
                <w:szCs w:val="24"/>
              </w:rPr>
              <w:t xml:space="preserve"> sets out the proposed approach to inflationary up-lifts for the adult social care market which includes a </w:t>
            </w:r>
            <w:r w:rsidR="006762E4" w:rsidRPr="006762E4">
              <w:rPr>
                <w:rFonts w:cs="Arial"/>
                <w:szCs w:val="24"/>
              </w:rPr>
              <w:t>three year 7% inflationary up-lift approach and an additional one-off payment for 2023-24.</w:t>
            </w:r>
          </w:p>
          <w:p w14:paraId="02274D72" w14:textId="77777777" w:rsidR="001C7E35" w:rsidRPr="00605A4C" w:rsidRDefault="00605A4C" w:rsidP="006762E4">
            <w:pPr>
              <w:pStyle w:val="Heading3"/>
              <w:spacing w:before="240"/>
              <w:ind w:left="34" w:hanging="34"/>
            </w:pPr>
            <w:r>
              <w:t>Recommen</w:t>
            </w:r>
            <w:r w:rsidR="001C7E35" w:rsidRPr="00605A4C">
              <w:t xml:space="preserve">dations: </w:t>
            </w:r>
          </w:p>
          <w:p w14:paraId="38D2B60D" w14:textId="77777777" w:rsidR="001C7E35" w:rsidRDefault="001C7E35" w:rsidP="00605A4C">
            <w:r>
              <w:t>Cabinet is requested to:</w:t>
            </w:r>
          </w:p>
          <w:p w14:paraId="1A1AD92C" w14:textId="3A5FDF25" w:rsidR="00591016" w:rsidRPr="006762E4" w:rsidRDefault="00591016" w:rsidP="006762E4"/>
          <w:p w14:paraId="1162F3A5" w14:textId="55D2D4B3" w:rsidR="006762E4" w:rsidRDefault="006762E4">
            <w:pPr>
              <w:pStyle w:val="ListParagraph"/>
              <w:numPr>
                <w:ilvl w:val="0"/>
                <w:numId w:val="4"/>
              </w:numPr>
              <w:contextualSpacing/>
              <w:rPr>
                <w:rFonts w:cs="Arial"/>
              </w:rPr>
            </w:pPr>
            <w:r>
              <w:rPr>
                <w:rFonts w:cs="Arial"/>
              </w:rPr>
              <w:t xml:space="preserve">Agree </w:t>
            </w:r>
            <w:r w:rsidRPr="00F86EE1">
              <w:rPr>
                <w:rFonts w:cs="Arial"/>
              </w:rPr>
              <w:t>the three-year inflationary up-lift approach</w:t>
            </w:r>
            <w:r>
              <w:rPr>
                <w:rFonts w:cs="Arial"/>
              </w:rPr>
              <w:t xml:space="preserve"> 2023-24 – </w:t>
            </w:r>
            <w:proofErr w:type="gramStart"/>
            <w:r>
              <w:rPr>
                <w:rFonts w:cs="Arial"/>
              </w:rPr>
              <w:t>2025-26</w:t>
            </w:r>
            <w:r w:rsidR="00D23061">
              <w:rPr>
                <w:rFonts w:cs="Arial"/>
              </w:rPr>
              <w:t>;</w:t>
            </w:r>
            <w:proofErr w:type="gramEnd"/>
          </w:p>
          <w:p w14:paraId="1436C5D9" w14:textId="77777777" w:rsidR="00D23061" w:rsidRPr="00F86EE1" w:rsidRDefault="00D23061" w:rsidP="00D23061">
            <w:pPr>
              <w:pStyle w:val="ListParagraph"/>
              <w:contextualSpacing/>
              <w:rPr>
                <w:rFonts w:cs="Arial"/>
              </w:rPr>
            </w:pPr>
          </w:p>
          <w:p w14:paraId="1C29C368" w14:textId="7E5C1331" w:rsidR="006762E4" w:rsidRPr="00F86EE1" w:rsidRDefault="006762E4">
            <w:pPr>
              <w:pStyle w:val="ListParagraph"/>
              <w:numPr>
                <w:ilvl w:val="0"/>
                <w:numId w:val="4"/>
              </w:numPr>
              <w:contextualSpacing/>
              <w:rPr>
                <w:rFonts w:cs="Arial"/>
              </w:rPr>
            </w:pPr>
            <w:r>
              <w:rPr>
                <w:rFonts w:cs="Arial"/>
              </w:rPr>
              <w:t>Agree</w:t>
            </w:r>
            <w:r w:rsidRPr="00F86EE1">
              <w:rPr>
                <w:rFonts w:cs="Arial"/>
              </w:rPr>
              <w:t xml:space="preserve"> the increased funding for Providers for 2023-24 </w:t>
            </w:r>
            <w:r>
              <w:rPr>
                <w:rFonts w:cs="Arial"/>
              </w:rPr>
              <w:t>as a one -off additional payment</w:t>
            </w:r>
          </w:p>
          <w:p w14:paraId="130A1D51" w14:textId="77777777" w:rsidR="00591016" w:rsidRDefault="00591016" w:rsidP="00605A4C"/>
          <w:p w14:paraId="061365F9" w14:textId="59957CE7" w:rsidR="001C7E35" w:rsidRPr="006762E4" w:rsidRDefault="00E13BEF" w:rsidP="00E13BEF">
            <w:pPr>
              <w:pStyle w:val="Heading3"/>
              <w:ind w:left="0" w:firstLine="0"/>
              <w:jc w:val="left"/>
            </w:pPr>
            <w:r>
              <w:t>Reason: (f</w:t>
            </w:r>
            <w:r w:rsidR="001C7E35" w:rsidRPr="00605A4C">
              <w:t>or recommendation</w:t>
            </w:r>
            <w:r w:rsidR="00714BEE" w:rsidRPr="00605A4C">
              <w:t>s</w:t>
            </w:r>
            <w:r w:rsidR="001C7E35" w:rsidRPr="00605A4C">
              <w:t>)</w:t>
            </w:r>
            <w:r w:rsidR="00F91AE4">
              <w:t xml:space="preserve"> </w:t>
            </w:r>
            <w:r w:rsidR="006762E4" w:rsidRPr="00417CF4">
              <w:rPr>
                <w:b w:val="0"/>
                <w:bCs w:val="0"/>
                <w:sz w:val="24"/>
                <w:szCs w:val="20"/>
              </w:rPr>
              <w:t>To implement the adult social care inflationary up-lift for 2023-24.</w:t>
            </w:r>
          </w:p>
          <w:p w14:paraId="313BC81E" w14:textId="77777777" w:rsidR="00333FAA" w:rsidRDefault="00333FAA" w:rsidP="00605A4C"/>
        </w:tc>
      </w:tr>
    </w:tbl>
    <w:p w14:paraId="0204F38A" w14:textId="77777777" w:rsidR="00333FAA" w:rsidRDefault="00333FAA" w:rsidP="00F06E4E">
      <w:pPr>
        <w:pStyle w:val="Heading2"/>
        <w:spacing w:before="480"/>
      </w:pPr>
      <w:r>
        <w:t>Section 2 – Report</w:t>
      </w:r>
    </w:p>
    <w:p w14:paraId="76168D48" w14:textId="77777777" w:rsidR="001C7E35" w:rsidRDefault="001C7E35" w:rsidP="00F06E4E">
      <w:pPr>
        <w:pStyle w:val="Heading3"/>
        <w:spacing w:before="240"/>
      </w:pPr>
      <w:r>
        <w:t>Introductory paragraph</w:t>
      </w:r>
    </w:p>
    <w:p w14:paraId="05BE9F72" w14:textId="77777777" w:rsidR="00BC5530" w:rsidRPr="00BC5530" w:rsidRDefault="00BC5530" w:rsidP="00BC5530">
      <w:pPr>
        <w:rPr>
          <w:b/>
        </w:rPr>
      </w:pPr>
    </w:p>
    <w:p w14:paraId="7CF78DC2" w14:textId="77777777" w:rsidR="00BC5530" w:rsidRPr="000C6E90" w:rsidRDefault="00BC5530">
      <w:pPr>
        <w:pStyle w:val="ListParagraph"/>
        <w:numPr>
          <w:ilvl w:val="0"/>
          <w:numId w:val="16"/>
        </w:numPr>
        <w:spacing w:line="276" w:lineRule="auto"/>
        <w:ind w:left="567" w:hanging="567"/>
        <w:rPr>
          <w:rFonts w:cs="Arial"/>
          <w:szCs w:val="24"/>
        </w:rPr>
      </w:pPr>
      <w:r w:rsidRPr="000C6E90">
        <w:rPr>
          <w:rFonts w:cs="Arial"/>
          <w:szCs w:val="24"/>
        </w:rPr>
        <w:t>Aligned with the Government’s ASC Reforms and Cost of Care, the Council is committed to working with social care providers to secure a sustainable and quality offer of services in Harrow, within available resources. The Government has allocated funding through the Market Sustainability Improvement Fund for inflationary up-lifts and market sustainability costs. The local authority is required to report the impact of Government’s Market Sustainability Improvement Fund on one (or more) of the three Targets:</w:t>
      </w:r>
    </w:p>
    <w:p w14:paraId="40065844" w14:textId="77777777" w:rsidR="00BC5530" w:rsidRPr="00074735" w:rsidRDefault="00BC5530" w:rsidP="00BC5530">
      <w:pPr>
        <w:pStyle w:val="Default"/>
        <w:rPr>
          <w:rFonts w:ascii="Arial" w:hAnsi="Arial" w:cs="Arial"/>
        </w:rPr>
      </w:pPr>
    </w:p>
    <w:p w14:paraId="4E750E3B" w14:textId="77777777" w:rsidR="00BC5530" w:rsidRPr="004D13B4" w:rsidRDefault="00BC5530">
      <w:pPr>
        <w:pStyle w:val="ListParagraph"/>
        <w:numPr>
          <w:ilvl w:val="0"/>
          <w:numId w:val="2"/>
        </w:numPr>
        <w:ind w:left="927"/>
        <w:contextualSpacing/>
        <w:rPr>
          <w:rFonts w:cs="Arial"/>
        </w:rPr>
      </w:pPr>
      <w:r w:rsidRPr="004D13B4">
        <w:rPr>
          <w:rFonts w:cs="Arial"/>
        </w:rPr>
        <w:t xml:space="preserve">Increasing fee rates paid to adult social care providers in local areas </w:t>
      </w:r>
    </w:p>
    <w:p w14:paraId="7BAFCBFD" w14:textId="77777777" w:rsidR="00BC5530" w:rsidRPr="004D13B4" w:rsidRDefault="00BC5530">
      <w:pPr>
        <w:pStyle w:val="ListParagraph"/>
        <w:numPr>
          <w:ilvl w:val="0"/>
          <w:numId w:val="2"/>
        </w:numPr>
        <w:ind w:left="927"/>
        <w:contextualSpacing/>
        <w:rPr>
          <w:rFonts w:cs="Arial"/>
        </w:rPr>
      </w:pPr>
      <w:r w:rsidRPr="004D13B4">
        <w:rPr>
          <w:rFonts w:cs="Arial"/>
        </w:rPr>
        <w:t>Increasing adult social care workforce capacity and retention</w:t>
      </w:r>
    </w:p>
    <w:p w14:paraId="2231B1F5" w14:textId="77777777" w:rsidR="00BC5530" w:rsidRPr="004D13B4" w:rsidRDefault="00BC5530">
      <w:pPr>
        <w:pStyle w:val="ListParagraph"/>
        <w:numPr>
          <w:ilvl w:val="0"/>
          <w:numId w:val="2"/>
        </w:numPr>
        <w:ind w:left="927"/>
        <w:contextualSpacing/>
        <w:rPr>
          <w:rFonts w:cs="Arial"/>
        </w:rPr>
      </w:pPr>
      <w:r w:rsidRPr="004D13B4">
        <w:rPr>
          <w:rFonts w:cs="Arial"/>
        </w:rPr>
        <w:t>Reducing adult social care waiting times</w:t>
      </w:r>
    </w:p>
    <w:p w14:paraId="6784C005" w14:textId="77777777" w:rsidR="00BC5530" w:rsidRDefault="00BC5530" w:rsidP="000C6E90">
      <w:pPr>
        <w:spacing w:line="276" w:lineRule="auto"/>
        <w:ind w:left="207"/>
        <w:rPr>
          <w:rFonts w:cs="Arial"/>
          <w:szCs w:val="24"/>
        </w:rPr>
      </w:pPr>
    </w:p>
    <w:p w14:paraId="6AC76C9C" w14:textId="77777777" w:rsidR="00BC5530" w:rsidRPr="003F5864" w:rsidRDefault="00BC5530">
      <w:pPr>
        <w:pStyle w:val="ListParagraph"/>
        <w:numPr>
          <w:ilvl w:val="0"/>
          <w:numId w:val="16"/>
        </w:numPr>
        <w:spacing w:line="276" w:lineRule="auto"/>
        <w:ind w:left="567" w:hanging="567"/>
        <w:rPr>
          <w:rFonts w:cs="Arial"/>
        </w:rPr>
      </w:pPr>
      <w:r>
        <w:rPr>
          <w:rFonts w:cs="Arial"/>
        </w:rPr>
        <w:t>Harrow’s</w:t>
      </w:r>
      <w:r w:rsidRPr="003F5864">
        <w:rPr>
          <w:rFonts w:cs="Arial"/>
        </w:rPr>
        <w:t xml:space="preserve"> approach to inflationary up-lifts is guided by the following principles:</w:t>
      </w:r>
    </w:p>
    <w:p w14:paraId="7F9E92FB" w14:textId="77777777" w:rsidR="00BC5530" w:rsidRPr="003F5864" w:rsidRDefault="00BC5530">
      <w:pPr>
        <w:pStyle w:val="ListParagraph"/>
        <w:numPr>
          <w:ilvl w:val="0"/>
          <w:numId w:val="3"/>
        </w:numPr>
        <w:spacing w:line="276" w:lineRule="auto"/>
        <w:contextualSpacing/>
        <w:rPr>
          <w:rFonts w:cs="Arial"/>
        </w:rPr>
      </w:pPr>
      <w:r w:rsidRPr="003F5864">
        <w:rPr>
          <w:rFonts w:cs="Arial"/>
        </w:rPr>
        <w:t>Support a sustainable and quality provider market in Harrow</w:t>
      </w:r>
    </w:p>
    <w:p w14:paraId="0179A032" w14:textId="77777777" w:rsidR="00BC5530" w:rsidRPr="003F5864" w:rsidRDefault="00BC5530">
      <w:pPr>
        <w:pStyle w:val="ListParagraph"/>
        <w:numPr>
          <w:ilvl w:val="0"/>
          <w:numId w:val="3"/>
        </w:numPr>
        <w:spacing w:line="276" w:lineRule="auto"/>
        <w:contextualSpacing/>
        <w:rPr>
          <w:rFonts w:cs="Arial"/>
        </w:rPr>
      </w:pPr>
      <w:r>
        <w:rPr>
          <w:rFonts w:cs="Arial"/>
        </w:rPr>
        <w:t>C</w:t>
      </w:r>
      <w:r w:rsidRPr="003F5864">
        <w:rPr>
          <w:rFonts w:cs="Arial"/>
        </w:rPr>
        <w:t xml:space="preserve">ommitment to </w:t>
      </w:r>
      <w:r>
        <w:rPr>
          <w:rFonts w:cs="Arial"/>
        </w:rPr>
        <w:t>overtime increasing rates</w:t>
      </w:r>
    </w:p>
    <w:p w14:paraId="32035F21" w14:textId="77777777" w:rsidR="00BC5530" w:rsidRPr="003F5864" w:rsidRDefault="00BC5530">
      <w:pPr>
        <w:pStyle w:val="ListParagraph"/>
        <w:numPr>
          <w:ilvl w:val="0"/>
          <w:numId w:val="3"/>
        </w:numPr>
        <w:spacing w:line="276" w:lineRule="auto"/>
        <w:contextualSpacing/>
        <w:rPr>
          <w:rFonts w:cs="Arial"/>
        </w:rPr>
      </w:pPr>
      <w:r w:rsidRPr="003F5864">
        <w:rPr>
          <w:rFonts w:cs="Arial"/>
        </w:rPr>
        <w:t>To review the process and monitor the impact</w:t>
      </w:r>
    </w:p>
    <w:p w14:paraId="46653AF9" w14:textId="77777777" w:rsidR="00BC5530" w:rsidRPr="003F5864" w:rsidRDefault="00BC5530">
      <w:pPr>
        <w:pStyle w:val="ListParagraph"/>
        <w:numPr>
          <w:ilvl w:val="0"/>
          <w:numId w:val="3"/>
        </w:numPr>
        <w:spacing w:line="276" w:lineRule="auto"/>
        <w:contextualSpacing/>
        <w:rPr>
          <w:rFonts w:cs="Arial"/>
        </w:rPr>
      </w:pPr>
      <w:r w:rsidRPr="003F5864">
        <w:rPr>
          <w:rFonts w:cs="Arial"/>
        </w:rPr>
        <w:t>To prioritise home care rates acknowledging the current rate</w:t>
      </w:r>
      <w:r>
        <w:rPr>
          <w:rFonts w:cs="Arial"/>
        </w:rPr>
        <w:t xml:space="preserve">, </w:t>
      </w:r>
      <w:r w:rsidRPr="003F5864">
        <w:rPr>
          <w:rFonts w:cs="Arial"/>
        </w:rPr>
        <w:t xml:space="preserve">the importance of local services to support residents in their own homes </w:t>
      </w:r>
      <w:r>
        <w:rPr>
          <w:rFonts w:cs="Arial"/>
        </w:rPr>
        <w:t>to</w:t>
      </w:r>
      <w:r w:rsidRPr="003F5864">
        <w:rPr>
          <w:rFonts w:cs="Arial"/>
        </w:rPr>
        <w:t xml:space="preserve"> maintain independence</w:t>
      </w:r>
      <w:r>
        <w:rPr>
          <w:rFonts w:cs="Arial"/>
        </w:rPr>
        <w:t xml:space="preserve"> and the plan to develop a home care commission strategy, </w:t>
      </w:r>
    </w:p>
    <w:p w14:paraId="34943A76" w14:textId="77777777" w:rsidR="00BC5530" w:rsidRDefault="00BC5530">
      <w:pPr>
        <w:pStyle w:val="ListParagraph"/>
        <w:numPr>
          <w:ilvl w:val="0"/>
          <w:numId w:val="3"/>
        </w:numPr>
        <w:spacing w:line="276" w:lineRule="auto"/>
        <w:contextualSpacing/>
        <w:rPr>
          <w:rFonts w:cs="Arial"/>
        </w:rPr>
      </w:pPr>
      <w:r>
        <w:rPr>
          <w:rFonts w:cs="Arial"/>
        </w:rPr>
        <w:lastRenderedPageBreak/>
        <w:t>To develop the approach to consolidate spot placements where appropriate and encourage market development to meet priority and creasing needs.</w:t>
      </w:r>
    </w:p>
    <w:p w14:paraId="3593947D" w14:textId="77777777" w:rsidR="00BC5530" w:rsidRPr="003F5864" w:rsidRDefault="00BC5530" w:rsidP="00BC5530">
      <w:pPr>
        <w:pStyle w:val="ListParagraph"/>
        <w:spacing w:line="276" w:lineRule="auto"/>
        <w:contextualSpacing/>
        <w:rPr>
          <w:rFonts w:cs="Arial"/>
        </w:rPr>
      </w:pPr>
    </w:p>
    <w:p w14:paraId="79B44E28" w14:textId="40DB58AC" w:rsidR="00BC5530" w:rsidRDefault="000C6E90">
      <w:pPr>
        <w:pStyle w:val="ListParagraph"/>
        <w:numPr>
          <w:ilvl w:val="0"/>
          <w:numId w:val="16"/>
        </w:numPr>
        <w:spacing w:line="276" w:lineRule="auto"/>
        <w:ind w:left="567" w:hanging="567"/>
        <w:rPr>
          <w:rFonts w:cs="Arial"/>
          <w:szCs w:val="24"/>
        </w:rPr>
      </w:pPr>
      <w:r w:rsidRPr="006762E4">
        <w:rPr>
          <w:rFonts w:cs="Arial"/>
          <w:szCs w:val="24"/>
        </w:rPr>
        <w:t xml:space="preserve">This </w:t>
      </w:r>
      <w:r>
        <w:rPr>
          <w:rFonts w:cs="Arial"/>
          <w:szCs w:val="24"/>
        </w:rPr>
        <w:t>report</w:t>
      </w:r>
      <w:r w:rsidR="00BC5530">
        <w:rPr>
          <w:rFonts w:cs="Arial"/>
          <w:szCs w:val="24"/>
        </w:rPr>
        <w:t xml:space="preserve"> sets out the proposed </w:t>
      </w:r>
      <w:r w:rsidR="00BC5530" w:rsidRPr="006762E4">
        <w:rPr>
          <w:rFonts w:cs="Arial"/>
          <w:szCs w:val="24"/>
        </w:rPr>
        <w:t>three year 7% inflationary up-lift approach and an additional one-off payment for 2023-24.</w:t>
      </w:r>
    </w:p>
    <w:p w14:paraId="07283707" w14:textId="4D11B3EF" w:rsidR="006762E4" w:rsidRDefault="006762E4" w:rsidP="001C7E35"/>
    <w:p w14:paraId="54C967B0" w14:textId="77777777" w:rsidR="006762E4" w:rsidRPr="006762E4" w:rsidRDefault="006762E4">
      <w:pPr>
        <w:pStyle w:val="Default"/>
        <w:numPr>
          <w:ilvl w:val="0"/>
          <w:numId w:val="16"/>
        </w:numPr>
        <w:ind w:left="567" w:hanging="567"/>
        <w:rPr>
          <w:rFonts w:ascii="Arial" w:hAnsi="Arial" w:cs="Arial"/>
        </w:rPr>
      </w:pPr>
      <w:r w:rsidRPr="006762E4">
        <w:rPr>
          <w:rFonts w:ascii="Arial" w:hAnsi="Arial" w:cs="Arial"/>
        </w:rPr>
        <w:t xml:space="preserve">This decision contributes to the Council’s priorities: </w:t>
      </w:r>
    </w:p>
    <w:p w14:paraId="4D9BBE40" w14:textId="77777777" w:rsidR="006762E4" w:rsidRPr="006762E4" w:rsidRDefault="006762E4" w:rsidP="006762E4">
      <w:pPr>
        <w:pStyle w:val="Default"/>
        <w:ind w:left="567" w:hanging="567"/>
        <w:rPr>
          <w:rFonts w:ascii="Arial" w:hAnsi="Arial" w:cs="Arial"/>
        </w:rPr>
      </w:pPr>
    </w:p>
    <w:p w14:paraId="6ADE8BFE" w14:textId="3C05FB68" w:rsidR="006762E4" w:rsidRPr="006762E4" w:rsidRDefault="006762E4">
      <w:pPr>
        <w:pStyle w:val="Default"/>
        <w:numPr>
          <w:ilvl w:val="0"/>
          <w:numId w:val="5"/>
        </w:numPr>
        <w:tabs>
          <w:tab w:val="left" w:pos="1134"/>
        </w:tabs>
        <w:ind w:hanging="720"/>
        <w:rPr>
          <w:rFonts w:ascii="Arial" w:hAnsi="Arial" w:cs="Arial"/>
        </w:rPr>
      </w:pPr>
      <w:r w:rsidRPr="006762E4">
        <w:rPr>
          <w:rFonts w:ascii="Arial" w:hAnsi="Arial" w:cs="Arial"/>
        </w:rPr>
        <w:t xml:space="preserve">A council that puts residents first </w:t>
      </w:r>
    </w:p>
    <w:p w14:paraId="76AD7AF1" w14:textId="588BF832" w:rsidR="006762E4" w:rsidRPr="006762E4" w:rsidRDefault="00BC5530" w:rsidP="006762E4">
      <w:pPr>
        <w:pStyle w:val="Default"/>
        <w:ind w:left="1134"/>
        <w:rPr>
          <w:rFonts w:ascii="Arial" w:hAnsi="Arial" w:cs="Arial"/>
        </w:rPr>
      </w:pPr>
      <w:r>
        <w:rPr>
          <w:rFonts w:ascii="Arial" w:hAnsi="Arial" w:cs="Arial"/>
        </w:rPr>
        <w:t>Supporting the social care market to p</w:t>
      </w:r>
      <w:r w:rsidR="006762E4" w:rsidRPr="006762E4">
        <w:rPr>
          <w:rFonts w:ascii="Arial" w:hAnsi="Arial" w:cs="Arial"/>
        </w:rPr>
        <w:t>rovid</w:t>
      </w:r>
      <w:r>
        <w:rPr>
          <w:rFonts w:ascii="Arial" w:hAnsi="Arial" w:cs="Arial"/>
        </w:rPr>
        <w:t xml:space="preserve">e and sustain </w:t>
      </w:r>
      <w:r w:rsidRPr="006762E4">
        <w:rPr>
          <w:rFonts w:ascii="Arial" w:hAnsi="Arial" w:cs="Arial"/>
        </w:rPr>
        <w:t>high</w:t>
      </w:r>
      <w:r w:rsidR="006762E4" w:rsidRPr="006762E4">
        <w:rPr>
          <w:rFonts w:ascii="Arial" w:hAnsi="Arial" w:cs="Arial"/>
        </w:rPr>
        <w:t xml:space="preserve"> quality </w:t>
      </w:r>
      <w:r>
        <w:rPr>
          <w:rFonts w:ascii="Arial" w:hAnsi="Arial" w:cs="Arial"/>
        </w:rPr>
        <w:t xml:space="preserve">care and support for Harrow’s residents. </w:t>
      </w:r>
    </w:p>
    <w:p w14:paraId="78527080" w14:textId="77777777" w:rsidR="006762E4" w:rsidRPr="006762E4" w:rsidRDefault="006762E4" w:rsidP="006762E4">
      <w:pPr>
        <w:pStyle w:val="Default"/>
        <w:ind w:left="567" w:hanging="567"/>
        <w:rPr>
          <w:rFonts w:ascii="Arial" w:hAnsi="Arial" w:cs="Arial"/>
        </w:rPr>
      </w:pPr>
    </w:p>
    <w:p w14:paraId="0DB2CF92" w14:textId="77777777" w:rsidR="006762E4" w:rsidRPr="006762E4" w:rsidRDefault="006762E4">
      <w:pPr>
        <w:pStyle w:val="Default"/>
        <w:numPr>
          <w:ilvl w:val="0"/>
          <w:numId w:val="5"/>
        </w:numPr>
        <w:tabs>
          <w:tab w:val="left" w:pos="567"/>
        </w:tabs>
        <w:ind w:left="1134" w:hanging="567"/>
        <w:rPr>
          <w:rFonts w:ascii="Arial" w:hAnsi="Arial" w:cs="Arial"/>
        </w:rPr>
      </w:pPr>
      <w:r w:rsidRPr="006762E4">
        <w:rPr>
          <w:rFonts w:ascii="Arial" w:hAnsi="Arial" w:cs="Arial"/>
        </w:rPr>
        <w:t xml:space="preserve">A place where those in need are supported </w:t>
      </w:r>
    </w:p>
    <w:p w14:paraId="1FD1CB43" w14:textId="60675618" w:rsidR="006762E4" w:rsidRPr="006762E4" w:rsidRDefault="00BC5530" w:rsidP="006762E4">
      <w:pPr>
        <w:pStyle w:val="Default"/>
        <w:ind w:left="1134"/>
        <w:rPr>
          <w:rFonts w:ascii="Arial" w:hAnsi="Arial" w:cs="Arial"/>
        </w:rPr>
      </w:pPr>
      <w:r>
        <w:rPr>
          <w:rFonts w:ascii="Arial" w:hAnsi="Arial" w:cs="Arial"/>
        </w:rPr>
        <w:t xml:space="preserve">Ensures that there is a range of sufficient, quality care to meet the individual needs of those residents requiring support </w:t>
      </w:r>
    </w:p>
    <w:p w14:paraId="3B30A8D3" w14:textId="77777777" w:rsidR="006762E4" w:rsidRDefault="006762E4" w:rsidP="001C7E35"/>
    <w:p w14:paraId="0A078380" w14:textId="77777777" w:rsidR="00AD1E77" w:rsidRDefault="001C7E35" w:rsidP="00A1211C">
      <w:pPr>
        <w:pStyle w:val="Heading3"/>
        <w:spacing w:before="240"/>
        <w:ind w:left="0" w:firstLine="0"/>
        <w:jc w:val="left"/>
      </w:pPr>
      <w:r>
        <w:t xml:space="preserve">Options considered  </w:t>
      </w:r>
    </w:p>
    <w:p w14:paraId="508E5CD4" w14:textId="77777777" w:rsidR="00BC5530" w:rsidRPr="00BC5530" w:rsidRDefault="00BC5530">
      <w:pPr>
        <w:pStyle w:val="Default"/>
        <w:numPr>
          <w:ilvl w:val="0"/>
          <w:numId w:val="16"/>
        </w:numPr>
        <w:ind w:left="567" w:hanging="567"/>
        <w:rPr>
          <w:rFonts w:ascii="Arial" w:hAnsi="Arial" w:cs="Arial"/>
        </w:rPr>
      </w:pPr>
      <w:r w:rsidRPr="00BC5530">
        <w:rPr>
          <w:rFonts w:ascii="Arial" w:hAnsi="Arial" w:cs="Arial"/>
        </w:rPr>
        <w:t xml:space="preserve">The following options have been considered: </w:t>
      </w:r>
    </w:p>
    <w:p w14:paraId="008C175F" w14:textId="77777777" w:rsidR="00BC5530" w:rsidRPr="00BC5530" w:rsidRDefault="00BC5530" w:rsidP="00BC5530">
      <w:pPr>
        <w:pStyle w:val="Default"/>
        <w:rPr>
          <w:rFonts w:ascii="Arial" w:hAnsi="Arial" w:cs="Arial"/>
        </w:rPr>
      </w:pPr>
    </w:p>
    <w:p w14:paraId="19694FA3" w14:textId="1DBC34FF" w:rsidR="00BC5530" w:rsidRPr="00BC5530" w:rsidRDefault="00BC5530" w:rsidP="00BC5530">
      <w:pPr>
        <w:pStyle w:val="Default"/>
        <w:ind w:left="567"/>
        <w:rPr>
          <w:rFonts w:ascii="Arial" w:hAnsi="Arial" w:cs="Arial"/>
        </w:rPr>
      </w:pPr>
      <w:r w:rsidRPr="00BC5530">
        <w:rPr>
          <w:rFonts w:ascii="Arial" w:hAnsi="Arial" w:cs="Arial"/>
        </w:rPr>
        <w:t xml:space="preserve">Option 1: Do Nothing – this would not </w:t>
      </w:r>
      <w:r>
        <w:rPr>
          <w:rFonts w:ascii="Arial" w:hAnsi="Arial" w:cs="Arial"/>
        </w:rPr>
        <w:t xml:space="preserve">be </w:t>
      </w:r>
      <w:r w:rsidRPr="00BC5530">
        <w:rPr>
          <w:rFonts w:ascii="Arial" w:hAnsi="Arial" w:cs="Arial"/>
        </w:rPr>
        <w:t xml:space="preserve">a viable option because the </w:t>
      </w:r>
      <w:r>
        <w:rPr>
          <w:rFonts w:ascii="Arial" w:hAnsi="Arial" w:cs="Arial"/>
        </w:rPr>
        <w:t>Government has provided additional funding to support the care market and without increased funding the market ability to meet increased costs and maintain its sustainability.</w:t>
      </w:r>
      <w:r w:rsidRPr="00BC5530">
        <w:rPr>
          <w:rFonts w:ascii="Arial" w:hAnsi="Arial" w:cs="Arial"/>
        </w:rPr>
        <w:t xml:space="preserve"> </w:t>
      </w:r>
    </w:p>
    <w:p w14:paraId="7820D590" w14:textId="77777777" w:rsidR="00BC5530" w:rsidRPr="00BC5530" w:rsidRDefault="00BC5530" w:rsidP="00BC5530">
      <w:pPr>
        <w:pStyle w:val="Default"/>
        <w:ind w:left="567"/>
        <w:rPr>
          <w:rFonts w:ascii="Arial" w:hAnsi="Arial" w:cs="Arial"/>
        </w:rPr>
      </w:pPr>
    </w:p>
    <w:p w14:paraId="38B1C9E0" w14:textId="77777777" w:rsidR="00BC5530" w:rsidRDefault="00BC5530" w:rsidP="00BC5530">
      <w:pPr>
        <w:ind w:left="567"/>
        <w:rPr>
          <w:rFonts w:cs="Arial"/>
          <w:szCs w:val="24"/>
        </w:rPr>
      </w:pPr>
      <w:r w:rsidRPr="00BC5530">
        <w:rPr>
          <w:rFonts w:cs="Arial"/>
          <w:szCs w:val="24"/>
        </w:rPr>
        <w:t xml:space="preserve">Option 2: To </w:t>
      </w:r>
      <w:r>
        <w:rPr>
          <w:rFonts w:cs="Arial"/>
          <w:szCs w:val="24"/>
        </w:rPr>
        <w:t>agree Inflationary Up-lifts.</w:t>
      </w:r>
    </w:p>
    <w:p w14:paraId="17D3220E" w14:textId="77777777" w:rsidR="00BC5530" w:rsidRDefault="00BC5530" w:rsidP="00BC5530">
      <w:pPr>
        <w:ind w:left="567"/>
        <w:rPr>
          <w:rFonts w:cs="Arial"/>
          <w:szCs w:val="24"/>
        </w:rPr>
      </w:pPr>
    </w:p>
    <w:p w14:paraId="0CC74927" w14:textId="3350CADF" w:rsidR="00BC5530" w:rsidRPr="00BC5530" w:rsidRDefault="00BC5530">
      <w:pPr>
        <w:pStyle w:val="ListParagraph"/>
        <w:numPr>
          <w:ilvl w:val="0"/>
          <w:numId w:val="16"/>
        </w:numPr>
        <w:ind w:left="567" w:hanging="567"/>
        <w:rPr>
          <w:rFonts w:cs="Arial"/>
        </w:rPr>
      </w:pPr>
      <w:r w:rsidRPr="00BC5530">
        <w:rPr>
          <w:rFonts w:cs="Arial"/>
          <w:szCs w:val="24"/>
        </w:rPr>
        <w:t xml:space="preserve">Option 2 is the preferred option </w:t>
      </w:r>
      <w:r>
        <w:rPr>
          <w:rFonts w:cs="Arial"/>
          <w:szCs w:val="24"/>
        </w:rPr>
        <w:t xml:space="preserve">because it will support the care market in Harrow. The increases in funding need to be achieved within the Council’s affordability. An affordable rate of increase is being proposed for </w:t>
      </w:r>
      <w:r w:rsidRPr="00BC5530">
        <w:rPr>
          <w:rFonts w:cs="Arial"/>
          <w:szCs w:val="24"/>
        </w:rPr>
        <w:t>implementation</w:t>
      </w:r>
      <w:r w:rsidRPr="00BC5530">
        <w:rPr>
          <w:rFonts w:cs="Arial"/>
          <w:sz w:val="23"/>
          <w:szCs w:val="23"/>
        </w:rPr>
        <w:t xml:space="preserve">. </w:t>
      </w:r>
    </w:p>
    <w:p w14:paraId="417B4017" w14:textId="77777777" w:rsidR="00BC5530" w:rsidRDefault="00BC5530" w:rsidP="00BC5530">
      <w:pPr>
        <w:pStyle w:val="ListParagraph"/>
        <w:autoSpaceDE w:val="0"/>
        <w:autoSpaceDN w:val="0"/>
        <w:adjustRightInd w:val="0"/>
        <w:ind w:left="0"/>
        <w:jc w:val="both"/>
        <w:rPr>
          <w:rFonts w:cs="Arial"/>
          <w:szCs w:val="24"/>
        </w:rPr>
      </w:pPr>
    </w:p>
    <w:p w14:paraId="68562D3E" w14:textId="674FAD7D" w:rsidR="006762E4" w:rsidRPr="00BC5530" w:rsidRDefault="006762E4" w:rsidP="00BC5530">
      <w:pPr>
        <w:pStyle w:val="ListParagraph"/>
        <w:tabs>
          <w:tab w:val="left" w:pos="709"/>
        </w:tabs>
        <w:spacing w:line="276" w:lineRule="auto"/>
        <w:ind w:left="0"/>
        <w:rPr>
          <w:rFonts w:cs="Arial"/>
          <w:b/>
          <w:bCs/>
          <w:szCs w:val="24"/>
        </w:rPr>
      </w:pPr>
      <w:r w:rsidRPr="00BC5530">
        <w:rPr>
          <w:rFonts w:cs="Arial"/>
          <w:b/>
          <w:bCs/>
          <w:szCs w:val="24"/>
        </w:rPr>
        <w:t>Three Year Approach to Inflationary Uplifts Existing Packages</w:t>
      </w:r>
    </w:p>
    <w:p w14:paraId="06B6BCB1" w14:textId="77777777" w:rsidR="00BC5530" w:rsidRDefault="00BC5530" w:rsidP="006762E4">
      <w:pPr>
        <w:pStyle w:val="ListParagraph"/>
        <w:spacing w:line="276" w:lineRule="auto"/>
        <w:rPr>
          <w:rFonts w:cs="Arial"/>
          <w:szCs w:val="24"/>
        </w:rPr>
      </w:pPr>
    </w:p>
    <w:p w14:paraId="4F9AF474" w14:textId="59B44F7A" w:rsidR="00467820" w:rsidRPr="000C6E90" w:rsidRDefault="00467820">
      <w:pPr>
        <w:pStyle w:val="ListParagraph"/>
        <w:numPr>
          <w:ilvl w:val="0"/>
          <w:numId w:val="16"/>
        </w:numPr>
        <w:spacing w:line="276" w:lineRule="auto"/>
        <w:ind w:left="567" w:hanging="567"/>
        <w:rPr>
          <w:rFonts w:cs="Arial"/>
          <w:szCs w:val="24"/>
        </w:rPr>
      </w:pPr>
      <w:r w:rsidRPr="000C6E90">
        <w:rPr>
          <w:rFonts w:cs="Arial"/>
          <w:szCs w:val="24"/>
        </w:rPr>
        <w:t>In considering the availability of funding and the inflationary up-lift rates, a range of percentage increases were modelled. The shortfall ranges from £248k at 3% to £</w:t>
      </w:r>
      <w:r w:rsidR="004758CE">
        <w:rPr>
          <w:rFonts w:cs="Arial"/>
          <w:szCs w:val="24"/>
        </w:rPr>
        <w:t>7.8</w:t>
      </w:r>
      <w:r w:rsidRPr="000C6E90">
        <w:rPr>
          <w:rFonts w:cs="Arial"/>
          <w:szCs w:val="24"/>
        </w:rPr>
        <w:t xml:space="preserve">m at </w:t>
      </w:r>
      <w:r w:rsidR="004758CE">
        <w:rPr>
          <w:rFonts w:cs="Arial"/>
          <w:szCs w:val="24"/>
        </w:rPr>
        <w:t>12</w:t>
      </w:r>
      <w:r w:rsidRPr="000C6E90">
        <w:rPr>
          <w:rFonts w:cs="Arial"/>
          <w:szCs w:val="24"/>
        </w:rPr>
        <w:t xml:space="preserve">%. The increases to home care rates are also included.  These are set out in the table below. </w:t>
      </w:r>
    </w:p>
    <w:p w14:paraId="06A0D472" w14:textId="77777777" w:rsidR="00467820" w:rsidRDefault="00467820" w:rsidP="00467820">
      <w:pPr>
        <w:spacing w:line="276" w:lineRule="auto"/>
        <w:rPr>
          <w:rFonts w:cs="Arial"/>
          <w:szCs w:val="24"/>
        </w:rPr>
      </w:pPr>
    </w:p>
    <w:tbl>
      <w:tblPr>
        <w:tblW w:w="8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0"/>
        <w:gridCol w:w="1112"/>
        <w:gridCol w:w="1217"/>
        <w:gridCol w:w="1217"/>
        <w:gridCol w:w="1217"/>
        <w:gridCol w:w="1329"/>
        <w:gridCol w:w="1329"/>
      </w:tblGrid>
      <w:tr w:rsidR="00006F64" w:rsidRPr="00532C10" w14:paraId="19EB9C3F" w14:textId="77777777" w:rsidTr="00B23445">
        <w:trPr>
          <w:trHeight w:val="260"/>
        </w:trPr>
        <w:tc>
          <w:tcPr>
            <w:tcW w:w="2552" w:type="dxa"/>
            <w:gridSpan w:val="2"/>
            <w:noWrap/>
            <w:tcMar>
              <w:top w:w="0" w:type="dxa"/>
              <w:left w:w="108" w:type="dxa"/>
              <w:bottom w:w="0" w:type="dxa"/>
              <w:right w:w="108" w:type="dxa"/>
            </w:tcMar>
            <w:vAlign w:val="bottom"/>
            <w:hideMark/>
          </w:tcPr>
          <w:p w14:paraId="6302C5C5" w14:textId="77777777" w:rsidR="00006F64" w:rsidRPr="00532C10" w:rsidRDefault="00006F64" w:rsidP="00006F64">
            <w:pPr>
              <w:ind w:left="-363"/>
              <w:jc w:val="center"/>
              <w:rPr>
                <w:rFonts w:cs="Arial"/>
                <w:b/>
                <w:bCs/>
                <w:color w:val="000000"/>
                <w:sz w:val="20"/>
                <w:lang w:eastAsia="en-GB"/>
              </w:rPr>
            </w:pPr>
            <w:r>
              <w:rPr>
                <w:rFonts w:cs="Arial"/>
                <w:b/>
                <w:bCs/>
                <w:sz w:val="20"/>
                <w:lang w:eastAsia="en-GB"/>
              </w:rPr>
              <w:t>Percentage Increase</w:t>
            </w:r>
          </w:p>
        </w:tc>
        <w:tc>
          <w:tcPr>
            <w:tcW w:w="1217" w:type="dxa"/>
            <w:noWrap/>
            <w:tcMar>
              <w:top w:w="0" w:type="dxa"/>
              <w:left w:w="108" w:type="dxa"/>
              <w:bottom w:w="0" w:type="dxa"/>
              <w:right w:w="108" w:type="dxa"/>
            </w:tcMar>
            <w:vAlign w:val="bottom"/>
            <w:hideMark/>
          </w:tcPr>
          <w:p w14:paraId="7C6A04C8" w14:textId="77777777" w:rsidR="00006F64" w:rsidRPr="00532C10" w:rsidRDefault="00006F64" w:rsidP="00006F64">
            <w:pPr>
              <w:jc w:val="center"/>
              <w:rPr>
                <w:rFonts w:cs="Arial"/>
                <w:b/>
                <w:bCs/>
                <w:color w:val="000000"/>
                <w:sz w:val="20"/>
                <w:lang w:eastAsia="en-GB"/>
              </w:rPr>
            </w:pPr>
            <w:r w:rsidRPr="00532C10">
              <w:rPr>
                <w:rFonts w:cs="Arial"/>
                <w:b/>
                <w:bCs/>
                <w:color w:val="000000"/>
                <w:sz w:val="20"/>
                <w:lang w:eastAsia="en-GB"/>
              </w:rPr>
              <w:t>3%</w:t>
            </w:r>
          </w:p>
        </w:tc>
        <w:tc>
          <w:tcPr>
            <w:tcW w:w="1217" w:type="dxa"/>
            <w:noWrap/>
            <w:tcMar>
              <w:top w:w="0" w:type="dxa"/>
              <w:left w:w="108" w:type="dxa"/>
              <w:bottom w:w="0" w:type="dxa"/>
              <w:right w:w="108" w:type="dxa"/>
            </w:tcMar>
            <w:vAlign w:val="bottom"/>
            <w:hideMark/>
          </w:tcPr>
          <w:p w14:paraId="0A467448" w14:textId="77777777" w:rsidR="00006F64" w:rsidRPr="00532C10" w:rsidRDefault="00006F64" w:rsidP="00006F64">
            <w:pPr>
              <w:jc w:val="center"/>
              <w:rPr>
                <w:rFonts w:cs="Arial"/>
                <w:b/>
                <w:bCs/>
                <w:color w:val="000000"/>
                <w:sz w:val="20"/>
                <w:lang w:eastAsia="en-GB"/>
              </w:rPr>
            </w:pPr>
            <w:r w:rsidRPr="00532C10">
              <w:rPr>
                <w:rFonts w:cs="Arial"/>
                <w:b/>
                <w:bCs/>
                <w:color w:val="000000"/>
                <w:sz w:val="20"/>
                <w:lang w:eastAsia="en-GB"/>
              </w:rPr>
              <w:t>5%</w:t>
            </w:r>
          </w:p>
        </w:tc>
        <w:tc>
          <w:tcPr>
            <w:tcW w:w="1217" w:type="dxa"/>
            <w:noWrap/>
            <w:tcMar>
              <w:top w:w="0" w:type="dxa"/>
              <w:left w:w="108" w:type="dxa"/>
              <w:bottom w:w="0" w:type="dxa"/>
              <w:right w:w="108" w:type="dxa"/>
            </w:tcMar>
            <w:vAlign w:val="bottom"/>
            <w:hideMark/>
          </w:tcPr>
          <w:p w14:paraId="4BE798F1" w14:textId="77777777" w:rsidR="00006F64" w:rsidRPr="00532C10" w:rsidRDefault="00006F64" w:rsidP="00006F64">
            <w:pPr>
              <w:jc w:val="center"/>
              <w:rPr>
                <w:rFonts w:cs="Arial"/>
                <w:b/>
                <w:bCs/>
                <w:color w:val="000000"/>
                <w:sz w:val="20"/>
                <w:lang w:eastAsia="en-GB"/>
              </w:rPr>
            </w:pPr>
            <w:r w:rsidRPr="00532C10">
              <w:rPr>
                <w:rFonts w:cs="Arial"/>
                <w:b/>
                <w:bCs/>
                <w:color w:val="000000"/>
                <w:sz w:val="20"/>
                <w:lang w:eastAsia="en-GB"/>
              </w:rPr>
              <w:t>7%</w:t>
            </w:r>
          </w:p>
        </w:tc>
        <w:tc>
          <w:tcPr>
            <w:tcW w:w="1329" w:type="dxa"/>
            <w:vAlign w:val="bottom"/>
          </w:tcPr>
          <w:p w14:paraId="284FDA36" w14:textId="209C2671" w:rsidR="00006F64" w:rsidRPr="00532C10" w:rsidRDefault="00006F64" w:rsidP="00006F64">
            <w:pPr>
              <w:jc w:val="center"/>
              <w:rPr>
                <w:rFonts w:cs="Arial"/>
                <w:b/>
                <w:bCs/>
                <w:color w:val="000000"/>
                <w:sz w:val="20"/>
                <w:lang w:eastAsia="en-GB"/>
              </w:rPr>
            </w:pPr>
            <w:r w:rsidRPr="00532C10">
              <w:rPr>
                <w:rFonts w:cs="Arial"/>
                <w:b/>
                <w:bCs/>
                <w:color w:val="000000"/>
                <w:sz w:val="20"/>
                <w:lang w:eastAsia="en-GB"/>
              </w:rPr>
              <w:t>9%</w:t>
            </w:r>
          </w:p>
        </w:tc>
        <w:tc>
          <w:tcPr>
            <w:tcW w:w="1329" w:type="dxa"/>
            <w:noWrap/>
            <w:tcMar>
              <w:top w:w="0" w:type="dxa"/>
              <w:left w:w="108" w:type="dxa"/>
              <w:bottom w:w="0" w:type="dxa"/>
              <w:right w:w="108" w:type="dxa"/>
            </w:tcMar>
            <w:vAlign w:val="bottom"/>
            <w:hideMark/>
          </w:tcPr>
          <w:p w14:paraId="0EE32487" w14:textId="4EFF042C" w:rsidR="00006F64" w:rsidRPr="00532C10" w:rsidRDefault="00006F64" w:rsidP="00006F64">
            <w:pPr>
              <w:jc w:val="center"/>
              <w:rPr>
                <w:rFonts w:cs="Arial"/>
                <w:b/>
                <w:bCs/>
                <w:color w:val="000000"/>
                <w:sz w:val="20"/>
                <w:lang w:eastAsia="en-GB"/>
              </w:rPr>
            </w:pPr>
            <w:r w:rsidRPr="00532C10">
              <w:rPr>
                <w:rFonts w:cs="Arial"/>
                <w:b/>
                <w:bCs/>
                <w:color w:val="000000"/>
                <w:sz w:val="20"/>
                <w:lang w:eastAsia="en-GB"/>
              </w:rPr>
              <w:t>12%</w:t>
            </w:r>
          </w:p>
        </w:tc>
      </w:tr>
      <w:tr w:rsidR="00006F64" w14:paraId="708B0682" w14:textId="77777777" w:rsidTr="00B23445">
        <w:trPr>
          <w:trHeight w:val="270"/>
        </w:trPr>
        <w:tc>
          <w:tcPr>
            <w:tcW w:w="2552" w:type="dxa"/>
            <w:gridSpan w:val="2"/>
            <w:noWrap/>
            <w:tcMar>
              <w:top w:w="0" w:type="dxa"/>
              <w:left w:w="108" w:type="dxa"/>
              <w:bottom w:w="0" w:type="dxa"/>
              <w:right w:w="108" w:type="dxa"/>
            </w:tcMar>
            <w:vAlign w:val="bottom"/>
            <w:hideMark/>
          </w:tcPr>
          <w:p w14:paraId="7ED5DB26" w14:textId="77777777" w:rsidR="00006F64" w:rsidRPr="00D53759" w:rsidRDefault="00006F64" w:rsidP="00006F64">
            <w:pPr>
              <w:rPr>
                <w:rFonts w:cs="Arial"/>
                <w:b/>
                <w:bCs/>
                <w:color w:val="000000"/>
                <w:sz w:val="20"/>
                <w:lang w:eastAsia="en-GB"/>
              </w:rPr>
            </w:pPr>
            <w:r w:rsidRPr="00D53759">
              <w:rPr>
                <w:rFonts w:cs="Arial"/>
                <w:b/>
                <w:bCs/>
                <w:sz w:val="20"/>
                <w:lang w:eastAsia="en-GB"/>
              </w:rPr>
              <w:t>Required Budget for % increase</w:t>
            </w:r>
          </w:p>
        </w:tc>
        <w:tc>
          <w:tcPr>
            <w:tcW w:w="1217" w:type="dxa"/>
            <w:shd w:val="clear" w:color="auto" w:fill="FFF2CC"/>
            <w:noWrap/>
            <w:tcMar>
              <w:top w:w="0" w:type="dxa"/>
              <w:left w:w="108" w:type="dxa"/>
              <w:bottom w:w="0" w:type="dxa"/>
              <w:right w:w="108" w:type="dxa"/>
            </w:tcMar>
            <w:vAlign w:val="center"/>
            <w:hideMark/>
          </w:tcPr>
          <w:p w14:paraId="6D453ED5" w14:textId="77777777" w:rsidR="00006F64" w:rsidRPr="00BD6B01" w:rsidRDefault="00006F64" w:rsidP="00006F64">
            <w:pPr>
              <w:jc w:val="right"/>
              <w:rPr>
                <w:rFonts w:cs="Arial"/>
                <w:b/>
                <w:bCs/>
                <w:color w:val="000000"/>
                <w:sz w:val="20"/>
                <w:lang w:eastAsia="en-GB"/>
              </w:rPr>
            </w:pPr>
            <w:r w:rsidRPr="00BD6B01">
              <w:rPr>
                <w:rFonts w:cs="Arial"/>
                <w:b/>
                <w:bCs/>
                <w:color w:val="000000"/>
                <w:sz w:val="20"/>
                <w:lang w:eastAsia="en-GB"/>
              </w:rPr>
              <w:t>£2,558,269</w:t>
            </w:r>
          </w:p>
        </w:tc>
        <w:tc>
          <w:tcPr>
            <w:tcW w:w="1217" w:type="dxa"/>
            <w:shd w:val="clear" w:color="auto" w:fill="FFF2CC"/>
            <w:noWrap/>
            <w:tcMar>
              <w:top w:w="0" w:type="dxa"/>
              <w:left w:w="108" w:type="dxa"/>
              <w:bottom w:w="0" w:type="dxa"/>
              <w:right w:w="108" w:type="dxa"/>
            </w:tcMar>
            <w:vAlign w:val="center"/>
            <w:hideMark/>
          </w:tcPr>
          <w:p w14:paraId="14885F4D" w14:textId="77777777" w:rsidR="00006F64" w:rsidRPr="00BD6B01" w:rsidRDefault="00006F64" w:rsidP="00006F64">
            <w:pPr>
              <w:jc w:val="right"/>
              <w:rPr>
                <w:rFonts w:cs="Arial"/>
                <w:b/>
                <w:bCs/>
                <w:color w:val="000000"/>
                <w:sz w:val="20"/>
                <w:lang w:eastAsia="en-GB"/>
              </w:rPr>
            </w:pPr>
            <w:r w:rsidRPr="00BD6B01">
              <w:rPr>
                <w:rFonts w:cs="Arial"/>
                <w:b/>
                <w:bCs/>
                <w:color w:val="000000"/>
                <w:sz w:val="20"/>
                <w:lang w:eastAsia="en-GB"/>
              </w:rPr>
              <w:t>£4,237,782</w:t>
            </w:r>
          </w:p>
        </w:tc>
        <w:tc>
          <w:tcPr>
            <w:tcW w:w="1217" w:type="dxa"/>
            <w:shd w:val="clear" w:color="auto" w:fill="FFF2CC"/>
            <w:noWrap/>
            <w:tcMar>
              <w:top w:w="0" w:type="dxa"/>
              <w:left w:w="108" w:type="dxa"/>
              <w:bottom w:w="0" w:type="dxa"/>
              <w:right w:w="108" w:type="dxa"/>
            </w:tcMar>
            <w:vAlign w:val="center"/>
            <w:hideMark/>
          </w:tcPr>
          <w:p w14:paraId="4EBCD26E" w14:textId="77777777" w:rsidR="00006F64" w:rsidRPr="00BD6B01" w:rsidRDefault="00006F64" w:rsidP="00006F64">
            <w:pPr>
              <w:jc w:val="right"/>
              <w:rPr>
                <w:rFonts w:cs="Arial"/>
                <w:b/>
                <w:bCs/>
                <w:color w:val="000000"/>
                <w:sz w:val="20"/>
                <w:lang w:eastAsia="en-GB"/>
              </w:rPr>
            </w:pPr>
            <w:r w:rsidRPr="00BD6B01">
              <w:rPr>
                <w:rFonts w:cs="Arial"/>
                <w:b/>
                <w:bCs/>
                <w:color w:val="000000"/>
                <w:sz w:val="20"/>
                <w:lang w:eastAsia="en-GB"/>
              </w:rPr>
              <w:t>£5,917,294</w:t>
            </w:r>
          </w:p>
        </w:tc>
        <w:tc>
          <w:tcPr>
            <w:tcW w:w="1329" w:type="dxa"/>
            <w:shd w:val="clear" w:color="auto" w:fill="FFF2CC"/>
            <w:vAlign w:val="center"/>
          </w:tcPr>
          <w:p w14:paraId="4C07A97D" w14:textId="217B8C1A" w:rsidR="00006F64" w:rsidRPr="00BD6B01" w:rsidRDefault="00006F64" w:rsidP="00B23445">
            <w:pPr>
              <w:jc w:val="center"/>
              <w:rPr>
                <w:rFonts w:cs="Arial"/>
                <w:b/>
                <w:bCs/>
                <w:color w:val="000000"/>
                <w:sz w:val="20"/>
                <w:lang w:eastAsia="en-GB"/>
              </w:rPr>
            </w:pPr>
            <w:r w:rsidRPr="00BD6B01">
              <w:rPr>
                <w:rFonts w:cs="Arial"/>
                <w:b/>
                <w:bCs/>
                <w:color w:val="000000"/>
                <w:sz w:val="20"/>
                <w:lang w:eastAsia="en-GB"/>
              </w:rPr>
              <w:t>£7,596,807</w:t>
            </w:r>
          </w:p>
        </w:tc>
        <w:tc>
          <w:tcPr>
            <w:tcW w:w="1329" w:type="dxa"/>
            <w:shd w:val="clear" w:color="auto" w:fill="FFF2CC"/>
            <w:noWrap/>
            <w:tcMar>
              <w:top w:w="0" w:type="dxa"/>
              <w:left w:w="108" w:type="dxa"/>
              <w:bottom w:w="0" w:type="dxa"/>
              <w:right w:w="108" w:type="dxa"/>
            </w:tcMar>
            <w:vAlign w:val="center"/>
            <w:hideMark/>
          </w:tcPr>
          <w:p w14:paraId="3CE1AE69" w14:textId="1A73155F" w:rsidR="00006F64" w:rsidRPr="00BD6B01" w:rsidRDefault="00006F64" w:rsidP="00006F64">
            <w:pPr>
              <w:jc w:val="right"/>
              <w:rPr>
                <w:rFonts w:cs="Arial"/>
                <w:b/>
                <w:bCs/>
                <w:color w:val="000000"/>
                <w:sz w:val="20"/>
                <w:lang w:eastAsia="en-GB"/>
              </w:rPr>
            </w:pPr>
            <w:r w:rsidRPr="00BD6B01">
              <w:rPr>
                <w:rFonts w:cs="Arial"/>
                <w:b/>
                <w:bCs/>
                <w:color w:val="000000"/>
                <w:sz w:val="20"/>
                <w:lang w:eastAsia="en-GB"/>
              </w:rPr>
              <w:t>£10,116,076</w:t>
            </w:r>
          </w:p>
        </w:tc>
      </w:tr>
      <w:tr w:rsidR="00006F64" w14:paraId="548D25C5" w14:textId="77777777" w:rsidTr="00B23445">
        <w:trPr>
          <w:trHeight w:val="260"/>
        </w:trPr>
        <w:tc>
          <w:tcPr>
            <w:tcW w:w="2552" w:type="dxa"/>
            <w:gridSpan w:val="2"/>
            <w:noWrap/>
            <w:tcMar>
              <w:top w:w="0" w:type="dxa"/>
              <w:left w:w="108" w:type="dxa"/>
              <w:bottom w:w="0" w:type="dxa"/>
              <w:right w:w="108" w:type="dxa"/>
            </w:tcMar>
            <w:vAlign w:val="bottom"/>
            <w:hideMark/>
          </w:tcPr>
          <w:p w14:paraId="20859A25" w14:textId="77777777" w:rsidR="00006F64" w:rsidRPr="00BD6B01" w:rsidRDefault="00006F64" w:rsidP="00006F64">
            <w:pPr>
              <w:rPr>
                <w:rFonts w:cs="Arial"/>
                <w:color w:val="000000"/>
                <w:sz w:val="20"/>
                <w:lang w:eastAsia="en-GB"/>
              </w:rPr>
            </w:pPr>
            <w:r>
              <w:rPr>
                <w:rFonts w:cs="Arial"/>
                <w:b/>
                <w:bCs/>
                <w:color w:val="000000"/>
                <w:sz w:val="20"/>
                <w:lang w:eastAsia="en-GB"/>
              </w:rPr>
              <w:t xml:space="preserve">Available Budget </w:t>
            </w:r>
            <w:r w:rsidRPr="006C0116">
              <w:rPr>
                <w:rFonts w:cs="Arial"/>
                <w:b/>
                <w:bCs/>
                <w:color w:val="000000"/>
                <w:sz w:val="20"/>
                <w:lang w:eastAsia="en-GB"/>
              </w:rPr>
              <w:t>Provision</w:t>
            </w:r>
          </w:p>
        </w:tc>
        <w:tc>
          <w:tcPr>
            <w:tcW w:w="1217" w:type="dxa"/>
            <w:noWrap/>
            <w:tcMar>
              <w:top w:w="0" w:type="dxa"/>
              <w:left w:w="108" w:type="dxa"/>
              <w:bottom w:w="0" w:type="dxa"/>
              <w:right w:w="108" w:type="dxa"/>
            </w:tcMar>
            <w:vAlign w:val="center"/>
            <w:hideMark/>
          </w:tcPr>
          <w:p w14:paraId="40774D17" w14:textId="77777777" w:rsidR="00006F64" w:rsidRPr="00BD6B01" w:rsidRDefault="00006F64" w:rsidP="00006F64">
            <w:pPr>
              <w:jc w:val="right"/>
              <w:rPr>
                <w:rFonts w:cs="Arial"/>
                <w:color w:val="000000"/>
                <w:sz w:val="20"/>
                <w:lang w:eastAsia="en-GB"/>
              </w:rPr>
            </w:pPr>
            <w:r w:rsidRPr="00BD6B01">
              <w:rPr>
                <w:rFonts w:cs="Arial"/>
                <w:color w:val="000000"/>
                <w:sz w:val="20"/>
                <w:lang w:eastAsia="en-GB"/>
              </w:rPr>
              <w:t>£2,310,000</w:t>
            </w:r>
          </w:p>
        </w:tc>
        <w:tc>
          <w:tcPr>
            <w:tcW w:w="1217" w:type="dxa"/>
            <w:noWrap/>
            <w:tcMar>
              <w:top w:w="0" w:type="dxa"/>
              <w:left w:w="108" w:type="dxa"/>
              <w:bottom w:w="0" w:type="dxa"/>
              <w:right w:w="108" w:type="dxa"/>
            </w:tcMar>
            <w:vAlign w:val="center"/>
            <w:hideMark/>
          </w:tcPr>
          <w:p w14:paraId="3BD5486B" w14:textId="77777777" w:rsidR="00006F64" w:rsidRPr="00BD6B01" w:rsidRDefault="00006F64" w:rsidP="00006F64">
            <w:pPr>
              <w:jc w:val="right"/>
              <w:rPr>
                <w:rFonts w:cs="Arial"/>
                <w:color w:val="000000"/>
                <w:sz w:val="20"/>
                <w:lang w:eastAsia="en-GB"/>
              </w:rPr>
            </w:pPr>
            <w:r w:rsidRPr="00BD6B01">
              <w:rPr>
                <w:rFonts w:cs="Arial"/>
                <w:color w:val="000000"/>
                <w:sz w:val="20"/>
                <w:lang w:eastAsia="en-GB"/>
              </w:rPr>
              <w:t>£2,310,000</w:t>
            </w:r>
          </w:p>
        </w:tc>
        <w:tc>
          <w:tcPr>
            <w:tcW w:w="1217" w:type="dxa"/>
            <w:noWrap/>
            <w:tcMar>
              <w:top w:w="0" w:type="dxa"/>
              <w:left w:w="108" w:type="dxa"/>
              <w:bottom w:w="0" w:type="dxa"/>
              <w:right w:w="108" w:type="dxa"/>
            </w:tcMar>
            <w:vAlign w:val="center"/>
            <w:hideMark/>
          </w:tcPr>
          <w:p w14:paraId="0047FB47" w14:textId="77777777" w:rsidR="00006F64" w:rsidRPr="00BD6B01" w:rsidRDefault="00006F64" w:rsidP="00006F64">
            <w:pPr>
              <w:jc w:val="right"/>
              <w:rPr>
                <w:rFonts w:cs="Arial"/>
                <w:color w:val="000000"/>
                <w:sz w:val="20"/>
                <w:lang w:eastAsia="en-GB"/>
              </w:rPr>
            </w:pPr>
            <w:r w:rsidRPr="00BD6B01">
              <w:rPr>
                <w:rFonts w:cs="Arial"/>
                <w:color w:val="000000"/>
                <w:sz w:val="20"/>
                <w:lang w:eastAsia="en-GB"/>
              </w:rPr>
              <w:t>£2,310,000</w:t>
            </w:r>
          </w:p>
        </w:tc>
        <w:tc>
          <w:tcPr>
            <w:tcW w:w="1329" w:type="dxa"/>
            <w:vAlign w:val="center"/>
          </w:tcPr>
          <w:p w14:paraId="17846EC5" w14:textId="1BBA8D20" w:rsidR="00006F64" w:rsidRPr="00BD6B01" w:rsidRDefault="00006F64" w:rsidP="00B23445">
            <w:pPr>
              <w:jc w:val="center"/>
              <w:rPr>
                <w:rFonts w:cs="Arial"/>
                <w:color w:val="000000"/>
                <w:sz w:val="20"/>
                <w:lang w:eastAsia="en-GB"/>
              </w:rPr>
            </w:pPr>
            <w:r w:rsidRPr="00BD6B01">
              <w:rPr>
                <w:rFonts w:cs="Arial"/>
                <w:color w:val="000000"/>
                <w:sz w:val="20"/>
                <w:lang w:eastAsia="en-GB"/>
              </w:rPr>
              <w:t>£2,310,000</w:t>
            </w:r>
          </w:p>
        </w:tc>
        <w:tc>
          <w:tcPr>
            <w:tcW w:w="1329" w:type="dxa"/>
            <w:noWrap/>
            <w:tcMar>
              <w:top w:w="0" w:type="dxa"/>
              <w:left w:w="108" w:type="dxa"/>
              <w:bottom w:w="0" w:type="dxa"/>
              <w:right w:w="108" w:type="dxa"/>
            </w:tcMar>
            <w:vAlign w:val="center"/>
            <w:hideMark/>
          </w:tcPr>
          <w:p w14:paraId="647F946E" w14:textId="5CFE014A" w:rsidR="00006F64" w:rsidRPr="00BD6B01" w:rsidRDefault="00006F64" w:rsidP="00006F64">
            <w:pPr>
              <w:jc w:val="right"/>
              <w:rPr>
                <w:rFonts w:cs="Arial"/>
                <w:color w:val="000000"/>
                <w:sz w:val="20"/>
                <w:lang w:eastAsia="en-GB"/>
              </w:rPr>
            </w:pPr>
            <w:r w:rsidRPr="00BD6B01">
              <w:rPr>
                <w:rFonts w:cs="Arial"/>
                <w:color w:val="000000"/>
                <w:sz w:val="20"/>
                <w:lang w:eastAsia="en-GB"/>
              </w:rPr>
              <w:t>£2,310,000</w:t>
            </w:r>
          </w:p>
        </w:tc>
      </w:tr>
      <w:tr w:rsidR="00006F64" w14:paraId="1626D3A9" w14:textId="77777777" w:rsidTr="00B23445">
        <w:trPr>
          <w:trHeight w:val="270"/>
        </w:trPr>
        <w:tc>
          <w:tcPr>
            <w:tcW w:w="2552" w:type="dxa"/>
            <w:gridSpan w:val="2"/>
            <w:noWrap/>
            <w:tcMar>
              <w:top w:w="0" w:type="dxa"/>
              <w:left w:w="108" w:type="dxa"/>
              <w:bottom w:w="0" w:type="dxa"/>
              <w:right w:w="108" w:type="dxa"/>
            </w:tcMar>
            <w:vAlign w:val="bottom"/>
            <w:hideMark/>
          </w:tcPr>
          <w:p w14:paraId="45EEE071" w14:textId="77777777" w:rsidR="00006F64" w:rsidRPr="00BD6B01" w:rsidRDefault="00006F64" w:rsidP="00006F64">
            <w:pPr>
              <w:rPr>
                <w:rFonts w:cs="Arial"/>
                <w:color w:val="000000"/>
                <w:sz w:val="20"/>
                <w:lang w:eastAsia="en-GB"/>
              </w:rPr>
            </w:pPr>
            <w:r>
              <w:rPr>
                <w:rFonts w:cs="Arial"/>
                <w:b/>
                <w:bCs/>
                <w:color w:val="000000"/>
                <w:sz w:val="20"/>
                <w:lang w:eastAsia="en-GB"/>
              </w:rPr>
              <w:t>Budget Shortfall</w:t>
            </w:r>
          </w:p>
        </w:tc>
        <w:tc>
          <w:tcPr>
            <w:tcW w:w="1217" w:type="dxa"/>
            <w:shd w:val="clear" w:color="auto" w:fill="DDEBF7"/>
            <w:noWrap/>
            <w:tcMar>
              <w:top w:w="0" w:type="dxa"/>
              <w:left w:w="108" w:type="dxa"/>
              <w:bottom w:w="0" w:type="dxa"/>
              <w:right w:w="108" w:type="dxa"/>
            </w:tcMar>
            <w:vAlign w:val="center"/>
            <w:hideMark/>
          </w:tcPr>
          <w:p w14:paraId="78251BC6" w14:textId="77777777" w:rsidR="00006F64" w:rsidRPr="00BD6B01" w:rsidRDefault="00006F64" w:rsidP="00006F64">
            <w:pPr>
              <w:jc w:val="right"/>
              <w:rPr>
                <w:rFonts w:cs="Arial"/>
                <w:b/>
                <w:bCs/>
                <w:color w:val="000000"/>
                <w:sz w:val="20"/>
                <w:lang w:eastAsia="en-GB"/>
              </w:rPr>
            </w:pPr>
            <w:r w:rsidRPr="00BD6B01">
              <w:rPr>
                <w:rFonts w:cs="Arial"/>
                <w:b/>
                <w:bCs/>
                <w:color w:val="000000"/>
                <w:sz w:val="20"/>
                <w:lang w:eastAsia="en-GB"/>
              </w:rPr>
              <w:t>£248,269</w:t>
            </w:r>
          </w:p>
        </w:tc>
        <w:tc>
          <w:tcPr>
            <w:tcW w:w="1217" w:type="dxa"/>
            <w:shd w:val="clear" w:color="auto" w:fill="DDEBF7"/>
            <w:noWrap/>
            <w:tcMar>
              <w:top w:w="0" w:type="dxa"/>
              <w:left w:w="108" w:type="dxa"/>
              <w:bottom w:w="0" w:type="dxa"/>
              <w:right w:w="108" w:type="dxa"/>
            </w:tcMar>
            <w:vAlign w:val="center"/>
            <w:hideMark/>
          </w:tcPr>
          <w:p w14:paraId="42A77B22" w14:textId="77777777" w:rsidR="00006F64" w:rsidRPr="00BD6B01" w:rsidRDefault="00006F64" w:rsidP="00006F64">
            <w:pPr>
              <w:jc w:val="right"/>
              <w:rPr>
                <w:rFonts w:cs="Arial"/>
                <w:b/>
                <w:bCs/>
                <w:color w:val="000000"/>
                <w:sz w:val="20"/>
                <w:lang w:eastAsia="en-GB"/>
              </w:rPr>
            </w:pPr>
            <w:r w:rsidRPr="00BD6B01">
              <w:rPr>
                <w:rFonts w:cs="Arial"/>
                <w:b/>
                <w:bCs/>
                <w:color w:val="000000"/>
                <w:sz w:val="20"/>
                <w:lang w:eastAsia="en-GB"/>
              </w:rPr>
              <w:t>£1,927,782</w:t>
            </w:r>
          </w:p>
        </w:tc>
        <w:tc>
          <w:tcPr>
            <w:tcW w:w="1217" w:type="dxa"/>
            <w:shd w:val="clear" w:color="auto" w:fill="DDEBF7"/>
            <w:noWrap/>
            <w:tcMar>
              <w:top w:w="0" w:type="dxa"/>
              <w:left w:w="108" w:type="dxa"/>
              <w:bottom w:w="0" w:type="dxa"/>
              <w:right w:w="108" w:type="dxa"/>
            </w:tcMar>
            <w:vAlign w:val="center"/>
            <w:hideMark/>
          </w:tcPr>
          <w:p w14:paraId="2E2B991A" w14:textId="77777777" w:rsidR="00006F64" w:rsidRPr="00BD6B01" w:rsidRDefault="00006F64" w:rsidP="00006F64">
            <w:pPr>
              <w:jc w:val="right"/>
              <w:rPr>
                <w:rFonts w:cs="Arial"/>
                <w:b/>
                <w:bCs/>
                <w:color w:val="000000"/>
                <w:sz w:val="20"/>
                <w:lang w:eastAsia="en-GB"/>
              </w:rPr>
            </w:pPr>
            <w:r w:rsidRPr="00BD6B01">
              <w:rPr>
                <w:rFonts w:cs="Arial"/>
                <w:b/>
                <w:bCs/>
                <w:color w:val="000000"/>
                <w:sz w:val="20"/>
                <w:lang w:eastAsia="en-GB"/>
              </w:rPr>
              <w:t>£3,607,294</w:t>
            </w:r>
          </w:p>
        </w:tc>
        <w:tc>
          <w:tcPr>
            <w:tcW w:w="1329" w:type="dxa"/>
            <w:shd w:val="clear" w:color="auto" w:fill="DDEBF7"/>
            <w:vAlign w:val="center"/>
          </w:tcPr>
          <w:p w14:paraId="0B6A91EA" w14:textId="5EC4C9A2" w:rsidR="00006F64" w:rsidRPr="00BD6B01" w:rsidRDefault="00006F64" w:rsidP="00B23445">
            <w:pPr>
              <w:jc w:val="center"/>
              <w:rPr>
                <w:rFonts w:cs="Arial"/>
                <w:b/>
                <w:bCs/>
                <w:color w:val="000000"/>
                <w:sz w:val="20"/>
                <w:lang w:eastAsia="en-GB"/>
              </w:rPr>
            </w:pPr>
            <w:r w:rsidRPr="00BD6B01">
              <w:rPr>
                <w:rFonts w:cs="Arial"/>
                <w:b/>
                <w:bCs/>
                <w:color w:val="000000"/>
                <w:sz w:val="20"/>
                <w:lang w:eastAsia="en-GB"/>
              </w:rPr>
              <w:t>£5,286,807</w:t>
            </w:r>
          </w:p>
        </w:tc>
        <w:tc>
          <w:tcPr>
            <w:tcW w:w="1329" w:type="dxa"/>
            <w:shd w:val="clear" w:color="auto" w:fill="DDEBF7"/>
            <w:noWrap/>
            <w:tcMar>
              <w:top w:w="0" w:type="dxa"/>
              <w:left w:w="108" w:type="dxa"/>
              <w:bottom w:w="0" w:type="dxa"/>
              <w:right w:w="108" w:type="dxa"/>
            </w:tcMar>
            <w:vAlign w:val="center"/>
            <w:hideMark/>
          </w:tcPr>
          <w:p w14:paraId="599D3470" w14:textId="4E9A2AD8" w:rsidR="00006F64" w:rsidRPr="00BD6B01" w:rsidRDefault="00006F64" w:rsidP="00006F64">
            <w:pPr>
              <w:jc w:val="right"/>
              <w:rPr>
                <w:rFonts w:cs="Arial"/>
                <w:b/>
                <w:bCs/>
                <w:color w:val="000000"/>
                <w:sz w:val="20"/>
                <w:lang w:eastAsia="en-GB"/>
              </w:rPr>
            </w:pPr>
            <w:r w:rsidRPr="00BD6B01">
              <w:rPr>
                <w:rFonts w:cs="Arial"/>
                <w:b/>
                <w:bCs/>
                <w:color w:val="000000"/>
                <w:sz w:val="20"/>
                <w:lang w:eastAsia="en-GB"/>
              </w:rPr>
              <w:t>£7,806,076</w:t>
            </w:r>
          </w:p>
        </w:tc>
      </w:tr>
      <w:tr w:rsidR="00006F64" w:rsidRPr="009C09B0" w14:paraId="1B4B23E9" w14:textId="77777777" w:rsidTr="00B23445">
        <w:trPr>
          <w:trHeight w:val="260"/>
        </w:trPr>
        <w:tc>
          <w:tcPr>
            <w:tcW w:w="1440" w:type="dxa"/>
            <w:noWrap/>
            <w:tcMar>
              <w:top w:w="0" w:type="dxa"/>
              <w:left w:w="108" w:type="dxa"/>
              <w:bottom w:w="0" w:type="dxa"/>
              <w:right w:w="108" w:type="dxa"/>
            </w:tcMar>
            <w:vAlign w:val="center"/>
            <w:hideMark/>
          </w:tcPr>
          <w:p w14:paraId="6A92C2D9" w14:textId="77777777" w:rsidR="00006F64" w:rsidRPr="009C09B0" w:rsidRDefault="00006F64" w:rsidP="00006F64">
            <w:pPr>
              <w:ind w:left="37"/>
              <w:jc w:val="center"/>
              <w:rPr>
                <w:rFonts w:cs="Arial"/>
                <w:b/>
                <w:bCs/>
                <w:sz w:val="20"/>
                <w:lang w:eastAsia="en-GB"/>
              </w:rPr>
            </w:pPr>
            <w:r w:rsidRPr="009C09B0">
              <w:rPr>
                <w:rFonts w:cs="Arial"/>
                <w:b/>
                <w:bCs/>
                <w:sz w:val="20"/>
                <w:lang w:eastAsia="en-GB"/>
              </w:rPr>
              <w:t>Hourly Rates</w:t>
            </w:r>
          </w:p>
        </w:tc>
        <w:tc>
          <w:tcPr>
            <w:tcW w:w="1112" w:type="dxa"/>
            <w:noWrap/>
            <w:tcMar>
              <w:top w:w="0" w:type="dxa"/>
              <w:left w:w="108" w:type="dxa"/>
              <w:bottom w:w="0" w:type="dxa"/>
              <w:right w:w="108" w:type="dxa"/>
            </w:tcMar>
            <w:vAlign w:val="center"/>
            <w:hideMark/>
          </w:tcPr>
          <w:p w14:paraId="1B49F17A" w14:textId="77777777" w:rsidR="00006F64" w:rsidRPr="009C09B0" w:rsidRDefault="00006F64" w:rsidP="00006F64">
            <w:pPr>
              <w:jc w:val="center"/>
              <w:rPr>
                <w:rFonts w:cs="Arial"/>
                <w:b/>
                <w:bCs/>
                <w:sz w:val="20"/>
                <w:lang w:eastAsia="en-GB"/>
              </w:rPr>
            </w:pPr>
            <w:r w:rsidRPr="009C09B0">
              <w:rPr>
                <w:rFonts w:cs="Arial"/>
                <w:b/>
                <w:bCs/>
                <w:sz w:val="20"/>
                <w:lang w:eastAsia="en-GB"/>
              </w:rPr>
              <w:t>Current Rate</w:t>
            </w:r>
          </w:p>
        </w:tc>
        <w:tc>
          <w:tcPr>
            <w:tcW w:w="1217" w:type="dxa"/>
            <w:noWrap/>
            <w:tcMar>
              <w:top w:w="0" w:type="dxa"/>
              <w:left w:w="108" w:type="dxa"/>
              <w:bottom w:w="0" w:type="dxa"/>
              <w:right w:w="108" w:type="dxa"/>
            </w:tcMar>
            <w:vAlign w:val="center"/>
            <w:hideMark/>
          </w:tcPr>
          <w:p w14:paraId="7EC18559" w14:textId="77777777" w:rsidR="00006F64" w:rsidRPr="009C09B0" w:rsidRDefault="00006F64" w:rsidP="00006F64">
            <w:pPr>
              <w:ind w:left="-49"/>
              <w:jc w:val="center"/>
              <w:rPr>
                <w:rFonts w:cs="Arial"/>
                <w:b/>
                <w:bCs/>
                <w:sz w:val="20"/>
                <w:lang w:eastAsia="en-GB"/>
              </w:rPr>
            </w:pPr>
            <w:r w:rsidRPr="009C09B0">
              <w:rPr>
                <w:rFonts w:cs="Arial"/>
                <w:b/>
                <w:bCs/>
                <w:color w:val="000000"/>
                <w:sz w:val="20"/>
                <w:lang w:eastAsia="en-GB"/>
              </w:rPr>
              <w:t>3%</w:t>
            </w:r>
          </w:p>
        </w:tc>
        <w:tc>
          <w:tcPr>
            <w:tcW w:w="1217" w:type="dxa"/>
            <w:noWrap/>
            <w:tcMar>
              <w:top w:w="0" w:type="dxa"/>
              <w:left w:w="108" w:type="dxa"/>
              <w:bottom w:w="0" w:type="dxa"/>
              <w:right w:w="108" w:type="dxa"/>
            </w:tcMar>
            <w:vAlign w:val="center"/>
            <w:hideMark/>
          </w:tcPr>
          <w:p w14:paraId="612591BA" w14:textId="77777777" w:rsidR="00006F64" w:rsidRPr="009C09B0" w:rsidRDefault="00006F64" w:rsidP="00006F64">
            <w:pPr>
              <w:ind w:left="-107"/>
              <w:jc w:val="center"/>
              <w:rPr>
                <w:rFonts w:cs="Arial"/>
                <w:b/>
                <w:bCs/>
                <w:sz w:val="20"/>
                <w:lang w:eastAsia="en-GB"/>
              </w:rPr>
            </w:pPr>
            <w:r w:rsidRPr="009C09B0">
              <w:rPr>
                <w:rFonts w:cs="Arial"/>
                <w:b/>
                <w:bCs/>
                <w:color w:val="000000"/>
                <w:sz w:val="20"/>
                <w:lang w:eastAsia="en-GB"/>
              </w:rPr>
              <w:t>5%</w:t>
            </w:r>
          </w:p>
        </w:tc>
        <w:tc>
          <w:tcPr>
            <w:tcW w:w="1217" w:type="dxa"/>
            <w:noWrap/>
            <w:tcMar>
              <w:top w:w="0" w:type="dxa"/>
              <w:left w:w="108" w:type="dxa"/>
              <w:bottom w:w="0" w:type="dxa"/>
              <w:right w:w="108" w:type="dxa"/>
            </w:tcMar>
            <w:vAlign w:val="center"/>
            <w:hideMark/>
          </w:tcPr>
          <w:p w14:paraId="79548A12" w14:textId="77777777" w:rsidR="00006F64" w:rsidRPr="009C09B0" w:rsidRDefault="00006F64" w:rsidP="00006F64">
            <w:pPr>
              <w:jc w:val="center"/>
              <w:rPr>
                <w:rFonts w:cs="Arial"/>
                <w:b/>
                <w:bCs/>
                <w:sz w:val="20"/>
                <w:lang w:eastAsia="en-GB"/>
              </w:rPr>
            </w:pPr>
            <w:r w:rsidRPr="009C09B0">
              <w:rPr>
                <w:rFonts w:cs="Arial"/>
                <w:b/>
                <w:bCs/>
                <w:color w:val="000000"/>
                <w:sz w:val="20"/>
                <w:lang w:eastAsia="en-GB"/>
              </w:rPr>
              <w:t>7%</w:t>
            </w:r>
          </w:p>
        </w:tc>
        <w:tc>
          <w:tcPr>
            <w:tcW w:w="1329" w:type="dxa"/>
            <w:vAlign w:val="center"/>
          </w:tcPr>
          <w:p w14:paraId="65503375" w14:textId="01D0D2D5" w:rsidR="00006F64" w:rsidRPr="009C09B0" w:rsidRDefault="00006F64" w:rsidP="00006F64">
            <w:pPr>
              <w:jc w:val="center"/>
              <w:rPr>
                <w:rFonts w:cs="Arial"/>
                <w:b/>
                <w:bCs/>
                <w:color w:val="000000"/>
                <w:sz w:val="20"/>
                <w:lang w:eastAsia="en-GB"/>
              </w:rPr>
            </w:pPr>
            <w:r w:rsidRPr="009C09B0">
              <w:rPr>
                <w:rFonts w:cs="Arial"/>
                <w:b/>
                <w:bCs/>
                <w:color w:val="000000"/>
                <w:sz w:val="20"/>
                <w:lang w:eastAsia="en-GB"/>
              </w:rPr>
              <w:t>9%</w:t>
            </w:r>
          </w:p>
        </w:tc>
        <w:tc>
          <w:tcPr>
            <w:tcW w:w="1329" w:type="dxa"/>
            <w:noWrap/>
            <w:tcMar>
              <w:top w:w="0" w:type="dxa"/>
              <w:left w:w="108" w:type="dxa"/>
              <w:bottom w:w="0" w:type="dxa"/>
              <w:right w:w="108" w:type="dxa"/>
            </w:tcMar>
            <w:vAlign w:val="center"/>
            <w:hideMark/>
          </w:tcPr>
          <w:p w14:paraId="3B41DE42" w14:textId="126C71A3" w:rsidR="00006F64" w:rsidRPr="009C09B0" w:rsidRDefault="00006F64" w:rsidP="00006F64">
            <w:pPr>
              <w:jc w:val="center"/>
              <w:rPr>
                <w:rFonts w:cs="Arial"/>
                <w:b/>
                <w:bCs/>
                <w:sz w:val="20"/>
                <w:lang w:eastAsia="en-GB"/>
              </w:rPr>
            </w:pPr>
            <w:r w:rsidRPr="009C09B0">
              <w:rPr>
                <w:rFonts w:cs="Arial"/>
                <w:b/>
                <w:bCs/>
                <w:color w:val="000000"/>
                <w:sz w:val="20"/>
                <w:lang w:eastAsia="en-GB"/>
              </w:rPr>
              <w:t>12%</w:t>
            </w:r>
          </w:p>
        </w:tc>
      </w:tr>
      <w:tr w:rsidR="00006F64" w14:paraId="064DE3B0" w14:textId="77777777" w:rsidTr="00B23445">
        <w:trPr>
          <w:trHeight w:val="250"/>
        </w:trPr>
        <w:tc>
          <w:tcPr>
            <w:tcW w:w="1440" w:type="dxa"/>
            <w:noWrap/>
            <w:tcMar>
              <w:top w:w="0" w:type="dxa"/>
              <w:left w:w="108" w:type="dxa"/>
              <w:bottom w:w="0" w:type="dxa"/>
              <w:right w:w="108" w:type="dxa"/>
            </w:tcMar>
            <w:vAlign w:val="bottom"/>
            <w:hideMark/>
          </w:tcPr>
          <w:p w14:paraId="2CAD70D8" w14:textId="77777777" w:rsidR="00006F64" w:rsidRPr="00BD6B01" w:rsidRDefault="00006F64" w:rsidP="00006F64">
            <w:pPr>
              <w:ind w:left="37"/>
              <w:rPr>
                <w:rFonts w:cs="Arial"/>
                <w:color w:val="000000"/>
                <w:sz w:val="20"/>
                <w:lang w:eastAsia="en-GB"/>
              </w:rPr>
            </w:pPr>
            <w:r w:rsidRPr="00BD6B01">
              <w:rPr>
                <w:rFonts w:cs="Arial"/>
                <w:color w:val="000000"/>
                <w:sz w:val="20"/>
                <w:lang w:eastAsia="en-GB"/>
              </w:rPr>
              <w:t>Home care</w:t>
            </w:r>
          </w:p>
        </w:tc>
        <w:tc>
          <w:tcPr>
            <w:tcW w:w="1112" w:type="dxa"/>
            <w:noWrap/>
            <w:tcMar>
              <w:top w:w="0" w:type="dxa"/>
              <w:left w:w="108" w:type="dxa"/>
              <w:bottom w:w="0" w:type="dxa"/>
              <w:right w:w="108" w:type="dxa"/>
            </w:tcMar>
            <w:vAlign w:val="bottom"/>
            <w:hideMark/>
          </w:tcPr>
          <w:p w14:paraId="14CEE816" w14:textId="77777777" w:rsidR="00006F64" w:rsidRPr="00BD6B01" w:rsidRDefault="00006F64" w:rsidP="00006F64">
            <w:pPr>
              <w:ind w:left="-363"/>
              <w:jc w:val="center"/>
              <w:rPr>
                <w:rFonts w:cs="Arial"/>
                <w:color w:val="000000"/>
                <w:sz w:val="20"/>
                <w:lang w:eastAsia="en-GB"/>
              </w:rPr>
            </w:pPr>
            <w:r w:rsidRPr="00BD6B01">
              <w:rPr>
                <w:rFonts w:cs="Arial"/>
                <w:color w:val="000000"/>
                <w:sz w:val="20"/>
                <w:lang w:eastAsia="en-GB"/>
              </w:rPr>
              <w:t>£16.60</w:t>
            </w:r>
          </w:p>
        </w:tc>
        <w:tc>
          <w:tcPr>
            <w:tcW w:w="1217" w:type="dxa"/>
            <w:noWrap/>
            <w:tcMar>
              <w:top w:w="0" w:type="dxa"/>
              <w:left w:w="108" w:type="dxa"/>
              <w:bottom w:w="0" w:type="dxa"/>
              <w:right w:w="108" w:type="dxa"/>
            </w:tcMar>
            <w:vAlign w:val="bottom"/>
            <w:hideMark/>
          </w:tcPr>
          <w:p w14:paraId="60AA50C2" w14:textId="77777777" w:rsidR="00006F64" w:rsidRPr="00BD6B01" w:rsidRDefault="00006F64" w:rsidP="00006F64">
            <w:pPr>
              <w:ind w:left="-363"/>
              <w:jc w:val="center"/>
              <w:rPr>
                <w:rFonts w:cs="Arial"/>
                <w:color w:val="000000"/>
                <w:sz w:val="20"/>
                <w:lang w:eastAsia="en-GB"/>
              </w:rPr>
            </w:pPr>
            <w:r w:rsidRPr="00BD6B01">
              <w:rPr>
                <w:rFonts w:cs="Arial"/>
                <w:color w:val="000000"/>
                <w:sz w:val="20"/>
                <w:lang w:eastAsia="en-GB"/>
              </w:rPr>
              <w:t>£17.10</w:t>
            </w:r>
          </w:p>
        </w:tc>
        <w:tc>
          <w:tcPr>
            <w:tcW w:w="1217" w:type="dxa"/>
            <w:noWrap/>
            <w:tcMar>
              <w:top w:w="0" w:type="dxa"/>
              <w:left w:w="108" w:type="dxa"/>
              <w:bottom w:w="0" w:type="dxa"/>
              <w:right w:w="108" w:type="dxa"/>
            </w:tcMar>
            <w:vAlign w:val="bottom"/>
            <w:hideMark/>
          </w:tcPr>
          <w:p w14:paraId="00E9083C" w14:textId="77777777" w:rsidR="00006F64" w:rsidRPr="00BD6B01" w:rsidRDefault="00006F64" w:rsidP="00006F64">
            <w:pPr>
              <w:ind w:left="-363"/>
              <w:jc w:val="center"/>
              <w:rPr>
                <w:rFonts w:cs="Arial"/>
                <w:color w:val="000000"/>
                <w:sz w:val="20"/>
                <w:lang w:eastAsia="en-GB"/>
              </w:rPr>
            </w:pPr>
            <w:r w:rsidRPr="00BD6B01">
              <w:rPr>
                <w:rFonts w:cs="Arial"/>
                <w:color w:val="000000"/>
                <w:sz w:val="20"/>
                <w:lang w:eastAsia="en-GB"/>
              </w:rPr>
              <w:t>£17.40</w:t>
            </w:r>
          </w:p>
        </w:tc>
        <w:tc>
          <w:tcPr>
            <w:tcW w:w="1217" w:type="dxa"/>
            <w:noWrap/>
            <w:tcMar>
              <w:top w:w="0" w:type="dxa"/>
              <w:left w:w="108" w:type="dxa"/>
              <w:bottom w:w="0" w:type="dxa"/>
              <w:right w:w="108" w:type="dxa"/>
            </w:tcMar>
            <w:vAlign w:val="bottom"/>
            <w:hideMark/>
          </w:tcPr>
          <w:p w14:paraId="06ED8C8A" w14:textId="77777777" w:rsidR="00006F64" w:rsidRPr="00BD6B01" w:rsidRDefault="00006F64" w:rsidP="00006F64">
            <w:pPr>
              <w:ind w:left="-363"/>
              <w:jc w:val="center"/>
              <w:rPr>
                <w:rFonts w:cs="Arial"/>
                <w:color w:val="000000"/>
                <w:sz w:val="20"/>
                <w:lang w:eastAsia="en-GB"/>
              </w:rPr>
            </w:pPr>
            <w:r w:rsidRPr="00BD6B01">
              <w:rPr>
                <w:rFonts w:cs="Arial"/>
                <w:color w:val="000000"/>
                <w:sz w:val="20"/>
                <w:lang w:eastAsia="en-GB"/>
              </w:rPr>
              <w:t>£17.80</w:t>
            </w:r>
          </w:p>
        </w:tc>
        <w:tc>
          <w:tcPr>
            <w:tcW w:w="1329" w:type="dxa"/>
            <w:vAlign w:val="bottom"/>
          </w:tcPr>
          <w:p w14:paraId="4AC0F36D" w14:textId="4334EFAC" w:rsidR="00006F64" w:rsidRPr="00BD6B01" w:rsidRDefault="00006F64" w:rsidP="00006F64">
            <w:pPr>
              <w:ind w:left="-363"/>
              <w:jc w:val="center"/>
              <w:rPr>
                <w:rFonts w:cs="Arial"/>
                <w:color w:val="000000"/>
                <w:sz w:val="20"/>
                <w:lang w:eastAsia="en-GB"/>
              </w:rPr>
            </w:pPr>
            <w:r w:rsidRPr="00BD6B01">
              <w:rPr>
                <w:rFonts w:cs="Arial"/>
                <w:color w:val="000000"/>
                <w:sz w:val="20"/>
                <w:lang w:eastAsia="en-GB"/>
              </w:rPr>
              <w:t>£18.10</w:t>
            </w:r>
          </w:p>
        </w:tc>
        <w:tc>
          <w:tcPr>
            <w:tcW w:w="1329" w:type="dxa"/>
            <w:noWrap/>
            <w:tcMar>
              <w:top w:w="0" w:type="dxa"/>
              <w:left w:w="108" w:type="dxa"/>
              <w:bottom w:w="0" w:type="dxa"/>
              <w:right w:w="108" w:type="dxa"/>
            </w:tcMar>
            <w:vAlign w:val="bottom"/>
            <w:hideMark/>
          </w:tcPr>
          <w:p w14:paraId="62353A16" w14:textId="50D30704" w:rsidR="00006F64" w:rsidRPr="00BD6B01" w:rsidRDefault="00006F64" w:rsidP="00006F64">
            <w:pPr>
              <w:ind w:left="-363"/>
              <w:jc w:val="center"/>
              <w:rPr>
                <w:rFonts w:cs="Arial"/>
                <w:color w:val="000000"/>
                <w:sz w:val="20"/>
                <w:lang w:eastAsia="en-GB"/>
              </w:rPr>
            </w:pPr>
            <w:r w:rsidRPr="00BD6B01">
              <w:rPr>
                <w:rFonts w:cs="Arial"/>
                <w:color w:val="000000"/>
                <w:sz w:val="20"/>
                <w:lang w:eastAsia="en-GB"/>
              </w:rPr>
              <w:t>£18.60</w:t>
            </w:r>
          </w:p>
        </w:tc>
      </w:tr>
      <w:tr w:rsidR="00006F64" w14:paraId="60A0DA7B" w14:textId="77777777" w:rsidTr="00B23445">
        <w:trPr>
          <w:trHeight w:val="250"/>
        </w:trPr>
        <w:tc>
          <w:tcPr>
            <w:tcW w:w="1440" w:type="dxa"/>
            <w:noWrap/>
            <w:tcMar>
              <w:top w:w="0" w:type="dxa"/>
              <w:left w:w="108" w:type="dxa"/>
              <w:bottom w:w="0" w:type="dxa"/>
              <w:right w:w="108" w:type="dxa"/>
            </w:tcMar>
            <w:vAlign w:val="bottom"/>
            <w:hideMark/>
          </w:tcPr>
          <w:p w14:paraId="75248444" w14:textId="77777777" w:rsidR="00006F64" w:rsidRPr="00BD6B01" w:rsidRDefault="00006F64" w:rsidP="00006F64">
            <w:pPr>
              <w:ind w:left="37"/>
              <w:rPr>
                <w:rFonts w:cs="Arial"/>
                <w:color w:val="000000"/>
                <w:sz w:val="20"/>
                <w:lang w:eastAsia="en-GB"/>
              </w:rPr>
            </w:pPr>
            <w:r w:rsidRPr="00BD6B01">
              <w:rPr>
                <w:rFonts w:cs="Arial"/>
                <w:color w:val="000000"/>
                <w:sz w:val="20"/>
                <w:lang w:eastAsia="en-GB"/>
              </w:rPr>
              <w:t>Reablement</w:t>
            </w:r>
          </w:p>
        </w:tc>
        <w:tc>
          <w:tcPr>
            <w:tcW w:w="1112" w:type="dxa"/>
            <w:noWrap/>
            <w:tcMar>
              <w:top w:w="0" w:type="dxa"/>
              <w:left w:w="108" w:type="dxa"/>
              <w:bottom w:w="0" w:type="dxa"/>
              <w:right w:w="108" w:type="dxa"/>
            </w:tcMar>
            <w:vAlign w:val="bottom"/>
            <w:hideMark/>
          </w:tcPr>
          <w:p w14:paraId="14F320CA" w14:textId="77777777" w:rsidR="00006F64" w:rsidRPr="00BD6B01" w:rsidRDefault="00006F64" w:rsidP="00006F64">
            <w:pPr>
              <w:ind w:left="-363"/>
              <w:jc w:val="center"/>
              <w:rPr>
                <w:rFonts w:cs="Arial"/>
                <w:color w:val="000000"/>
                <w:sz w:val="20"/>
                <w:lang w:eastAsia="en-GB"/>
              </w:rPr>
            </w:pPr>
            <w:r w:rsidRPr="00BD6B01">
              <w:rPr>
                <w:rFonts w:cs="Arial"/>
                <w:color w:val="000000"/>
                <w:sz w:val="20"/>
                <w:lang w:eastAsia="en-GB"/>
              </w:rPr>
              <w:t>£18.00</w:t>
            </w:r>
          </w:p>
        </w:tc>
        <w:tc>
          <w:tcPr>
            <w:tcW w:w="1217" w:type="dxa"/>
            <w:noWrap/>
            <w:tcMar>
              <w:top w:w="0" w:type="dxa"/>
              <w:left w:w="108" w:type="dxa"/>
              <w:bottom w:w="0" w:type="dxa"/>
              <w:right w:w="108" w:type="dxa"/>
            </w:tcMar>
            <w:vAlign w:val="bottom"/>
            <w:hideMark/>
          </w:tcPr>
          <w:p w14:paraId="4E3D9111" w14:textId="77777777" w:rsidR="00006F64" w:rsidRPr="00BD6B01" w:rsidRDefault="00006F64" w:rsidP="00006F64">
            <w:pPr>
              <w:ind w:left="-363"/>
              <w:jc w:val="center"/>
              <w:rPr>
                <w:rFonts w:cs="Arial"/>
                <w:color w:val="000000"/>
                <w:sz w:val="20"/>
                <w:lang w:eastAsia="en-GB"/>
              </w:rPr>
            </w:pPr>
            <w:r w:rsidRPr="00BD6B01">
              <w:rPr>
                <w:rFonts w:cs="Arial"/>
                <w:color w:val="000000"/>
                <w:sz w:val="20"/>
                <w:lang w:eastAsia="en-GB"/>
              </w:rPr>
              <w:t>£18.50</w:t>
            </w:r>
          </w:p>
        </w:tc>
        <w:tc>
          <w:tcPr>
            <w:tcW w:w="1217" w:type="dxa"/>
            <w:noWrap/>
            <w:tcMar>
              <w:top w:w="0" w:type="dxa"/>
              <w:left w:w="108" w:type="dxa"/>
              <w:bottom w:w="0" w:type="dxa"/>
              <w:right w:w="108" w:type="dxa"/>
            </w:tcMar>
            <w:vAlign w:val="bottom"/>
            <w:hideMark/>
          </w:tcPr>
          <w:p w14:paraId="2AF30F0C" w14:textId="77777777" w:rsidR="00006F64" w:rsidRPr="00BD6B01" w:rsidRDefault="00006F64" w:rsidP="00006F64">
            <w:pPr>
              <w:ind w:left="-363"/>
              <w:jc w:val="center"/>
              <w:rPr>
                <w:rFonts w:cs="Arial"/>
                <w:color w:val="000000"/>
                <w:sz w:val="20"/>
                <w:lang w:eastAsia="en-GB"/>
              </w:rPr>
            </w:pPr>
            <w:r w:rsidRPr="00BD6B01">
              <w:rPr>
                <w:rFonts w:cs="Arial"/>
                <w:color w:val="000000"/>
                <w:sz w:val="20"/>
                <w:lang w:eastAsia="en-GB"/>
              </w:rPr>
              <w:t>£18.90</w:t>
            </w:r>
          </w:p>
        </w:tc>
        <w:tc>
          <w:tcPr>
            <w:tcW w:w="1217" w:type="dxa"/>
            <w:noWrap/>
            <w:tcMar>
              <w:top w:w="0" w:type="dxa"/>
              <w:left w:w="108" w:type="dxa"/>
              <w:bottom w:w="0" w:type="dxa"/>
              <w:right w:w="108" w:type="dxa"/>
            </w:tcMar>
            <w:vAlign w:val="bottom"/>
            <w:hideMark/>
          </w:tcPr>
          <w:p w14:paraId="4994F8FB" w14:textId="77777777" w:rsidR="00006F64" w:rsidRPr="00BD6B01" w:rsidRDefault="00006F64" w:rsidP="00006F64">
            <w:pPr>
              <w:ind w:left="-363"/>
              <w:jc w:val="center"/>
              <w:rPr>
                <w:rFonts w:cs="Arial"/>
                <w:color w:val="000000"/>
                <w:sz w:val="20"/>
                <w:lang w:eastAsia="en-GB"/>
              </w:rPr>
            </w:pPr>
            <w:r w:rsidRPr="00BD6B01">
              <w:rPr>
                <w:rFonts w:cs="Arial"/>
                <w:color w:val="000000"/>
                <w:sz w:val="20"/>
                <w:lang w:eastAsia="en-GB"/>
              </w:rPr>
              <w:t>£19.30</w:t>
            </w:r>
          </w:p>
        </w:tc>
        <w:tc>
          <w:tcPr>
            <w:tcW w:w="1329" w:type="dxa"/>
            <w:vAlign w:val="bottom"/>
          </w:tcPr>
          <w:p w14:paraId="3E2C9A9D" w14:textId="60DB7F76" w:rsidR="00006F64" w:rsidRPr="00BD6B01" w:rsidRDefault="00006F64" w:rsidP="00006F64">
            <w:pPr>
              <w:ind w:left="-363"/>
              <w:jc w:val="center"/>
              <w:rPr>
                <w:rFonts w:cs="Arial"/>
                <w:color w:val="000000"/>
                <w:sz w:val="20"/>
                <w:lang w:eastAsia="en-GB"/>
              </w:rPr>
            </w:pPr>
            <w:r w:rsidRPr="00BD6B01">
              <w:rPr>
                <w:rFonts w:cs="Arial"/>
                <w:color w:val="000000"/>
                <w:sz w:val="20"/>
                <w:lang w:eastAsia="en-GB"/>
              </w:rPr>
              <w:t>£19.60</w:t>
            </w:r>
          </w:p>
        </w:tc>
        <w:tc>
          <w:tcPr>
            <w:tcW w:w="1329" w:type="dxa"/>
            <w:noWrap/>
            <w:tcMar>
              <w:top w:w="0" w:type="dxa"/>
              <w:left w:w="108" w:type="dxa"/>
              <w:bottom w:w="0" w:type="dxa"/>
              <w:right w:w="108" w:type="dxa"/>
            </w:tcMar>
            <w:vAlign w:val="bottom"/>
            <w:hideMark/>
          </w:tcPr>
          <w:p w14:paraId="732082CE" w14:textId="674787AB" w:rsidR="00006F64" w:rsidRPr="00BD6B01" w:rsidRDefault="00006F64" w:rsidP="00006F64">
            <w:pPr>
              <w:ind w:left="-363"/>
              <w:jc w:val="center"/>
              <w:rPr>
                <w:rFonts w:cs="Arial"/>
                <w:color w:val="000000"/>
                <w:sz w:val="20"/>
                <w:lang w:eastAsia="en-GB"/>
              </w:rPr>
            </w:pPr>
            <w:r w:rsidRPr="00BD6B01">
              <w:rPr>
                <w:rFonts w:cs="Arial"/>
                <w:color w:val="000000"/>
                <w:sz w:val="20"/>
                <w:lang w:eastAsia="en-GB"/>
              </w:rPr>
              <w:t>£20.20</w:t>
            </w:r>
          </w:p>
        </w:tc>
      </w:tr>
    </w:tbl>
    <w:p w14:paraId="6111C557" w14:textId="77777777" w:rsidR="00467820" w:rsidRDefault="00467820" w:rsidP="003E4C35">
      <w:pPr>
        <w:pStyle w:val="ListParagraph"/>
        <w:spacing w:line="276" w:lineRule="auto"/>
        <w:ind w:left="0"/>
        <w:rPr>
          <w:rFonts w:cs="Arial"/>
          <w:szCs w:val="24"/>
        </w:rPr>
      </w:pPr>
    </w:p>
    <w:p w14:paraId="3421B88F" w14:textId="28CC6488" w:rsidR="003E4C35" w:rsidRDefault="006762E4">
      <w:pPr>
        <w:pStyle w:val="ListParagraph"/>
        <w:numPr>
          <w:ilvl w:val="0"/>
          <w:numId w:val="16"/>
        </w:numPr>
        <w:spacing w:line="276" w:lineRule="auto"/>
        <w:ind w:left="567" w:hanging="567"/>
        <w:rPr>
          <w:rFonts w:cs="Arial"/>
          <w:szCs w:val="24"/>
        </w:rPr>
      </w:pPr>
      <w:r w:rsidRPr="006762E4">
        <w:rPr>
          <w:rFonts w:cs="Arial"/>
          <w:szCs w:val="24"/>
        </w:rPr>
        <w:t xml:space="preserve">Within its affordability and the </w:t>
      </w:r>
      <w:r w:rsidR="00F61BDB">
        <w:rPr>
          <w:rFonts w:cs="Arial"/>
          <w:szCs w:val="24"/>
        </w:rPr>
        <w:t xml:space="preserve">three </w:t>
      </w:r>
      <w:r w:rsidRPr="006762E4">
        <w:rPr>
          <w:rFonts w:cs="Arial"/>
          <w:szCs w:val="24"/>
        </w:rPr>
        <w:t xml:space="preserve">-year MTFS, the Council </w:t>
      </w:r>
      <w:r w:rsidR="00B05018">
        <w:rPr>
          <w:rFonts w:cs="Arial"/>
          <w:szCs w:val="24"/>
        </w:rPr>
        <w:t>has</w:t>
      </w:r>
      <w:r w:rsidRPr="006762E4">
        <w:rPr>
          <w:rFonts w:cs="Arial"/>
          <w:szCs w:val="24"/>
        </w:rPr>
        <w:t xml:space="preserve"> commit</w:t>
      </w:r>
      <w:r w:rsidR="00B05018">
        <w:rPr>
          <w:rFonts w:cs="Arial"/>
          <w:szCs w:val="24"/>
        </w:rPr>
        <w:t xml:space="preserve">ted </w:t>
      </w:r>
      <w:r w:rsidRPr="006762E4">
        <w:rPr>
          <w:rFonts w:cs="Arial"/>
          <w:szCs w:val="24"/>
        </w:rPr>
        <w:t>to a</w:t>
      </w:r>
      <w:r w:rsidR="00B05018">
        <w:rPr>
          <w:rFonts w:cs="Arial"/>
          <w:szCs w:val="24"/>
        </w:rPr>
        <w:t>n</w:t>
      </w:r>
      <w:r w:rsidR="00006F64">
        <w:rPr>
          <w:rFonts w:cs="Arial"/>
          <w:szCs w:val="24"/>
        </w:rPr>
        <w:t xml:space="preserve"> </w:t>
      </w:r>
      <w:r w:rsidR="00B05018">
        <w:rPr>
          <w:rFonts w:cs="Arial"/>
          <w:szCs w:val="24"/>
        </w:rPr>
        <w:t xml:space="preserve">inflationary increase of </w:t>
      </w:r>
      <w:r w:rsidRPr="006762E4">
        <w:rPr>
          <w:rFonts w:cs="Arial"/>
          <w:szCs w:val="24"/>
        </w:rPr>
        <w:t>7%</w:t>
      </w:r>
      <w:r w:rsidR="00D305FA">
        <w:rPr>
          <w:rFonts w:cs="Arial"/>
          <w:szCs w:val="24"/>
        </w:rPr>
        <w:t>, £</w:t>
      </w:r>
      <w:r w:rsidR="00F94ECC">
        <w:rPr>
          <w:rFonts w:cs="Arial"/>
          <w:szCs w:val="24"/>
        </w:rPr>
        <w:t>6.196</w:t>
      </w:r>
      <w:r w:rsidR="00D305FA">
        <w:rPr>
          <w:rFonts w:cs="Arial"/>
          <w:szCs w:val="24"/>
        </w:rPr>
        <w:t xml:space="preserve">m in cash </w:t>
      </w:r>
      <w:r w:rsidR="00D23061">
        <w:rPr>
          <w:rFonts w:cs="Arial"/>
          <w:szCs w:val="24"/>
        </w:rPr>
        <w:t xml:space="preserve">terms, </w:t>
      </w:r>
      <w:r w:rsidR="00D23061" w:rsidRPr="006762E4">
        <w:rPr>
          <w:rFonts w:cs="Arial"/>
          <w:szCs w:val="24"/>
        </w:rPr>
        <w:t>over</w:t>
      </w:r>
      <w:r w:rsidRPr="006762E4">
        <w:rPr>
          <w:rFonts w:cs="Arial"/>
          <w:szCs w:val="24"/>
        </w:rPr>
        <w:t xml:space="preserve"> 3 years for providers</w:t>
      </w:r>
      <w:r w:rsidR="00D53759">
        <w:rPr>
          <w:rFonts w:cs="Arial"/>
          <w:szCs w:val="24"/>
        </w:rPr>
        <w:t xml:space="preserve"> for existing packages</w:t>
      </w:r>
      <w:r w:rsidR="003E4C35">
        <w:rPr>
          <w:rFonts w:cs="Arial"/>
          <w:szCs w:val="24"/>
        </w:rPr>
        <w:t xml:space="preserve">. </w:t>
      </w:r>
      <w:r w:rsidR="00D305FA">
        <w:rPr>
          <w:rFonts w:cs="Arial"/>
          <w:szCs w:val="24"/>
        </w:rPr>
        <w:t>This is based on</w:t>
      </w:r>
      <w:r w:rsidR="003E4C35" w:rsidRPr="003E4C35">
        <w:rPr>
          <w:rFonts w:cs="Arial"/>
          <w:szCs w:val="24"/>
        </w:rPr>
        <w:t xml:space="preserve"> the cost of all open packages at the end of March 2023</w:t>
      </w:r>
      <w:r w:rsidR="003E4C35">
        <w:rPr>
          <w:rFonts w:cs="Arial"/>
          <w:szCs w:val="24"/>
        </w:rPr>
        <w:t>. The increases and funding are set out in the table below:</w:t>
      </w:r>
    </w:p>
    <w:p w14:paraId="166B9D71" w14:textId="77777777" w:rsidR="003E4C35" w:rsidRPr="006762E4" w:rsidRDefault="003E4C35" w:rsidP="003E4C35">
      <w:pPr>
        <w:pStyle w:val="ListParagraph"/>
        <w:spacing w:line="276" w:lineRule="auto"/>
        <w:ind w:left="0"/>
        <w:rPr>
          <w:rFonts w:cs="Arial"/>
          <w:szCs w:val="24"/>
        </w:rPr>
      </w:pPr>
    </w:p>
    <w:tbl>
      <w:tblPr>
        <w:tblW w:w="0" w:type="auto"/>
        <w:jc w:val="center"/>
        <w:tblCellMar>
          <w:left w:w="0" w:type="dxa"/>
          <w:right w:w="0" w:type="dxa"/>
        </w:tblCellMar>
        <w:tblLook w:val="04A0" w:firstRow="1" w:lastRow="0" w:firstColumn="1" w:lastColumn="0" w:noHBand="0" w:noVBand="1"/>
      </w:tblPr>
      <w:tblGrid>
        <w:gridCol w:w="1559"/>
        <w:gridCol w:w="1560"/>
        <w:gridCol w:w="1984"/>
        <w:gridCol w:w="2268"/>
      </w:tblGrid>
      <w:tr w:rsidR="006762E4" w14:paraId="70628C87" w14:textId="77777777" w:rsidTr="002340DE">
        <w:trPr>
          <w:jc w:val="center"/>
        </w:trPr>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D2A2C1" w14:textId="77777777" w:rsidR="006762E4" w:rsidRDefault="006762E4" w:rsidP="002340DE">
            <w:pPr>
              <w:jc w:val="center"/>
              <w:rPr>
                <w:rFonts w:cs="Arial"/>
                <w:szCs w:val="24"/>
              </w:rPr>
            </w:pPr>
            <w:r>
              <w:rPr>
                <w:rFonts w:cs="Arial"/>
                <w:szCs w:val="24"/>
              </w:rPr>
              <w:t>Year</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BAA054" w14:textId="77777777" w:rsidR="006762E4" w:rsidRDefault="006762E4" w:rsidP="002340DE">
            <w:pPr>
              <w:jc w:val="center"/>
              <w:rPr>
                <w:rFonts w:cs="Arial"/>
                <w:szCs w:val="24"/>
              </w:rPr>
            </w:pPr>
            <w:r>
              <w:rPr>
                <w:rFonts w:cs="Arial"/>
                <w:szCs w:val="24"/>
              </w:rPr>
              <w:t>2023/24</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A584AA" w14:textId="77777777" w:rsidR="006762E4" w:rsidRDefault="006762E4" w:rsidP="002340DE">
            <w:pPr>
              <w:jc w:val="center"/>
              <w:rPr>
                <w:rFonts w:cs="Arial"/>
                <w:szCs w:val="24"/>
              </w:rPr>
            </w:pPr>
            <w:r>
              <w:rPr>
                <w:rFonts w:cs="Arial"/>
                <w:szCs w:val="24"/>
              </w:rPr>
              <w:t>2024/25</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DF58E9" w14:textId="77777777" w:rsidR="006762E4" w:rsidRDefault="006762E4" w:rsidP="002340DE">
            <w:pPr>
              <w:jc w:val="center"/>
              <w:rPr>
                <w:rFonts w:cs="Arial"/>
                <w:szCs w:val="24"/>
              </w:rPr>
            </w:pPr>
            <w:r>
              <w:rPr>
                <w:rFonts w:cs="Arial"/>
                <w:szCs w:val="24"/>
              </w:rPr>
              <w:t>2025/26</w:t>
            </w:r>
          </w:p>
        </w:tc>
      </w:tr>
      <w:tr w:rsidR="006762E4" w14:paraId="7BA0BE21" w14:textId="77777777" w:rsidTr="002340DE">
        <w:trPr>
          <w:jc w:val="center"/>
        </w:trPr>
        <w:tc>
          <w:tcPr>
            <w:tcW w:w="155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0FB6057E" w14:textId="77777777" w:rsidR="006762E4" w:rsidRDefault="006762E4" w:rsidP="002340DE">
            <w:pPr>
              <w:jc w:val="center"/>
              <w:rPr>
                <w:rFonts w:cs="Arial"/>
                <w:szCs w:val="24"/>
              </w:rPr>
            </w:pPr>
            <w:r>
              <w:rPr>
                <w:rFonts w:cs="Arial"/>
                <w:szCs w:val="24"/>
              </w:rPr>
              <w:t xml:space="preserve">% </w:t>
            </w:r>
            <w:proofErr w:type="gramStart"/>
            <w:r>
              <w:rPr>
                <w:rFonts w:cs="Arial"/>
                <w:szCs w:val="24"/>
              </w:rPr>
              <w:t>increase</w:t>
            </w:r>
            <w:proofErr w:type="gramEnd"/>
          </w:p>
        </w:tc>
        <w:tc>
          <w:tcPr>
            <w:tcW w:w="1560" w:type="dxa"/>
            <w:tcBorders>
              <w:top w:val="nil"/>
              <w:left w:val="nil"/>
              <w:bottom w:val="nil"/>
              <w:right w:val="single" w:sz="8" w:space="0" w:color="auto"/>
            </w:tcBorders>
            <w:tcMar>
              <w:top w:w="0" w:type="dxa"/>
              <w:left w:w="108" w:type="dxa"/>
              <w:bottom w:w="0" w:type="dxa"/>
              <w:right w:w="108" w:type="dxa"/>
            </w:tcMar>
            <w:vAlign w:val="center"/>
            <w:hideMark/>
          </w:tcPr>
          <w:p w14:paraId="54FD7349" w14:textId="02652622" w:rsidR="006762E4" w:rsidRDefault="006762E4" w:rsidP="002340DE">
            <w:pPr>
              <w:jc w:val="center"/>
              <w:rPr>
                <w:rFonts w:cs="Arial"/>
                <w:szCs w:val="24"/>
              </w:rPr>
            </w:pPr>
            <w:r>
              <w:rPr>
                <w:rFonts w:cs="Arial"/>
                <w:szCs w:val="24"/>
              </w:rPr>
              <w:t>2.</w:t>
            </w:r>
            <w:r w:rsidR="00F94ECC">
              <w:rPr>
                <w:rFonts w:cs="Arial"/>
                <w:szCs w:val="24"/>
              </w:rPr>
              <w:t xml:space="preserve">7 </w:t>
            </w:r>
            <w:r>
              <w:rPr>
                <w:rFonts w:cs="Arial"/>
                <w:szCs w:val="24"/>
              </w:rPr>
              <w:t>%</w:t>
            </w:r>
          </w:p>
        </w:tc>
        <w:tc>
          <w:tcPr>
            <w:tcW w:w="1984" w:type="dxa"/>
            <w:tcBorders>
              <w:top w:val="nil"/>
              <w:left w:val="nil"/>
              <w:bottom w:val="nil"/>
              <w:right w:val="single" w:sz="8" w:space="0" w:color="auto"/>
            </w:tcBorders>
            <w:tcMar>
              <w:top w:w="0" w:type="dxa"/>
              <w:left w:w="108" w:type="dxa"/>
              <w:bottom w:w="0" w:type="dxa"/>
              <w:right w:w="108" w:type="dxa"/>
            </w:tcMar>
            <w:vAlign w:val="center"/>
            <w:hideMark/>
          </w:tcPr>
          <w:p w14:paraId="1A3CA06C" w14:textId="3C7CB2A5" w:rsidR="006762E4" w:rsidRDefault="006762E4" w:rsidP="002340DE">
            <w:pPr>
              <w:jc w:val="center"/>
              <w:rPr>
                <w:rFonts w:cs="Arial"/>
                <w:szCs w:val="24"/>
              </w:rPr>
            </w:pPr>
            <w:r>
              <w:rPr>
                <w:rFonts w:cs="Arial"/>
                <w:szCs w:val="24"/>
              </w:rPr>
              <w:t>2.</w:t>
            </w:r>
            <w:r w:rsidR="00F94ECC">
              <w:rPr>
                <w:rFonts w:cs="Arial"/>
                <w:szCs w:val="24"/>
              </w:rPr>
              <w:t>3</w:t>
            </w:r>
            <w:r>
              <w:rPr>
                <w:rFonts w:cs="Arial"/>
                <w:szCs w:val="24"/>
              </w:rPr>
              <w:t>5%</w:t>
            </w:r>
          </w:p>
        </w:tc>
        <w:tc>
          <w:tcPr>
            <w:tcW w:w="2268" w:type="dxa"/>
            <w:tcBorders>
              <w:top w:val="nil"/>
              <w:left w:val="nil"/>
              <w:bottom w:val="nil"/>
              <w:right w:val="single" w:sz="8" w:space="0" w:color="auto"/>
            </w:tcBorders>
            <w:tcMar>
              <w:top w:w="0" w:type="dxa"/>
              <w:left w:w="108" w:type="dxa"/>
              <w:bottom w:w="0" w:type="dxa"/>
              <w:right w:w="108" w:type="dxa"/>
            </w:tcMar>
            <w:vAlign w:val="center"/>
            <w:hideMark/>
          </w:tcPr>
          <w:p w14:paraId="22E30E1A" w14:textId="77777777" w:rsidR="006762E4" w:rsidRDefault="006762E4" w:rsidP="002340DE">
            <w:pPr>
              <w:jc w:val="center"/>
              <w:rPr>
                <w:rFonts w:cs="Arial"/>
                <w:szCs w:val="24"/>
              </w:rPr>
            </w:pPr>
            <w:r>
              <w:rPr>
                <w:rFonts w:cs="Arial"/>
                <w:szCs w:val="24"/>
              </w:rPr>
              <w:t>2%</w:t>
            </w:r>
          </w:p>
        </w:tc>
      </w:tr>
      <w:tr w:rsidR="006762E4" w14:paraId="0E5E93B4" w14:textId="77777777" w:rsidTr="002340DE">
        <w:trPr>
          <w:jc w:val="center"/>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AAEB27" w14:textId="77777777" w:rsidR="006762E4" w:rsidRDefault="006762E4" w:rsidP="002340DE">
            <w:pPr>
              <w:jc w:val="center"/>
              <w:rPr>
                <w:rFonts w:cs="Arial"/>
                <w:szCs w:val="24"/>
              </w:rPr>
            </w:pPr>
            <w:r>
              <w:rPr>
                <w:rFonts w:cs="Arial"/>
                <w:szCs w:val="24"/>
              </w:rPr>
              <w:t>Cash Value</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180C180E" w14:textId="557A0F60" w:rsidR="006762E4" w:rsidRDefault="006762E4" w:rsidP="002340DE">
            <w:pPr>
              <w:jc w:val="center"/>
              <w:rPr>
                <w:rFonts w:cs="Arial"/>
                <w:szCs w:val="24"/>
              </w:rPr>
            </w:pPr>
            <w:r>
              <w:rPr>
                <w:rFonts w:cs="Arial"/>
                <w:szCs w:val="24"/>
              </w:rPr>
              <w:t>£2.3</w:t>
            </w:r>
            <w:r w:rsidR="00F94ECC">
              <w:rPr>
                <w:rFonts w:cs="Arial"/>
                <w:szCs w:val="24"/>
              </w:rPr>
              <w:t>1</w:t>
            </w:r>
            <w:r>
              <w:rPr>
                <w:rFonts w:cs="Arial"/>
                <w:szCs w:val="24"/>
              </w:rPr>
              <w:t>m</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23037F3E" w14:textId="6A2561B1" w:rsidR="006762E4" w:rsidRDefault="006762E4" w:rsidP="002340DE">
            <w:pPr>
              <w:jc w:val="center"/>
              <w:rPr>
                <w:rFonts w:cs="Arial"/>
                <w:szCs w:val="24"/>
              </w:rPr>
            </w:pPr>
            <w:r>
              <w:rPr>
                <w:rFonts w:cs="Arial"/>
                <w:szCs w:val="24"/>
              </w:rPr>
              <w:t>£</w:t>
            </w:r>
            <w:r w:rsidR="00F94ECC">
              <w:rPr>
                <w:rFonts w:cs="Arial"/>
                <w:szCs w:val="24"/>
              </w:rPr>
              <w:t>2.086</w:t>
            </w:r>
            <w:r>
              <w:rPr>
                <w:rFonts w:cs="Arial"/>
                <w:szCs w:val="24"/>
              </w:rPr>
              <w:t>m</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5835432A" w14:textId="77777777" w:rsidR="006762E4" w:rsidRDefault="006762E4" w:rsidP="002340DE">
            <w:pPr>
              <w:jc w:val="center"/>
              <w:rPr>
                <w:rFonts w:cs="Arial"/>
                <w:szCs w:val="24"/>
              </w:rPr>
            </w:pPr>
            <w:r>
              <w:rPr>
                <w:rFonts w:cs="Arial"/>
                <w:szCs w:val="24"/>
              </w:rPr>
              <w:t>£1.8m</w:t>
            </w:r>
          </w:p>
        </w:tc>
      </w:tr>
    </w:tbl>
    <w:p w14:paraId="5D551404" w14:textId="77777777" w:rsidR="006762E4" w:rsidRPr="006762E4" w:rsidRDefault="006762E4" w:rsidP="006762E4">
      <w:pPr>
        <w:pStyle w:val="ListParagraph"/>
        <w:spacing w:line="276" w:lineRule="auto"/>
        <w:rPr>
          <w:rFonts w:cs="Arial"/>
          <w:szCs w:val="24"/>
        </w:rPr>
      </w:pPr>
    </w:p>
    <w:p w14:paraId="727ADFF5" w14:textId="5C67E77F" w:rsidR="006762E4" w:rsidRPr="000C6E90" w:rsidRDefault="006762E4">
      <w:pPr>
        <w:pStyle w:val="ListParagraph"/>
        <w:numPr>
          <w:ilvl w:val="0"/>
          <w:numId w:val="16"/>
        </w:numPr>
        <w:spacing w:line="276" w:lineRule="auto"/>
        <w:ind w:left="567" w:hanging="567"/>
        <w:rPr>
          <w:rFonts w:cs="Arial"/>
          <w:szCs w:val="24"/>
        </w:rPr>
      </w:pPr>
      <w:r w:rsidRPr="000C6E90">
        <w:rPr>
          <w:rFonts w:cs="Arial"/>
          <w:szCs w:val="24"/>
        </w:rPr>
        <w:t>If additional Government funding becomes available there will be a review of the proposed increases.</w:t>
      </w:r>
    </w:p>
    <w:p w14:paraId="1928E255" w14:textId="6411832D" w:rsidR="00BC5530" w:rsidRDefault="00BC5530" w:rsidP="00D53759">
      <w:pPr>
        <w:spacing w:line="276" w:lineRule="auto"/>
        <w:rPr>
          <w:rFonts w:cs="Arial"/>
          <w:szCs w:val="24"/>
        </w:rPr>
      </w:pPr>
    </w:p>
    <w:p w14:paraId="2F8D98B8" w14:textId="509877B8" w:rsidR="00D53759" w:rsidRDefault="00D53759" w:rsidP="00D53759">
      <w:pPr>
        <w:spacing w:line="276" w:lineRule="auto"/>
        <w:rPr>
          <w:rFonts w:cs="Arial"/>
          <w:b/>
          <w:bCs/>
          <w:szCs w:val="24"/>
        </w:rPr>
      </w:pPr>
      <w:r w:rsidRPr="00D53759">
        <w:rPr>
          <w:rFonts w:cs="Arial"/>
          <w:b/>
          <w:bCs/>
          <w:szCs w:val="24"/>
        </w:rPr>
        <w:t>Application of Inflationary Up-lifts</w:t>
      </w:r>
      <w:r w:rsidR="00C54B54">
        <w:rPr>
          <w:rFonts w:cs="Arial"/>
          <w:b/>
          <w:bCs/>
          <w:szCs w:val="24"/>
        </w:rPr>
        <w:t xml:space="preserve"> 2023-24</w:t>
      </w:r>
    </w:p>
    <w:p w14:paraId="71765E11" w14:textId="77777777" w:rsidR="00D53759" w:rsidRPr="00D53759" w:rsidRDefault="00D53759" w:rsidP="00D53759">
      <w:pPr>
        <w:spacing w:line="276" w:lineRule="auto"/>
        <w:rPr>
          <w:rFonts w:cs="Arial"/>
          <w:b/>
          <w:bCs/>
          <w:szCs w:val="24"/>
        </w:rPr>
      </w:pPr>
    </w:p>
    <w:p w14:paraId="6EEEAF57" w14:textId="77777777" w:rsidR="006762E4" w:rsidRPr="000C6E90" w:rsidRDefault="006762E4">
      <w:pPr>
        <w:pStyle w:val="ListParagraph"/>
        <w:numPr>
          <w:ilvl w:val="0"/>
          <w:numId w:val="16"/>
        </w:numPr>
        <w:spacing w:line="276" w:lineRule="auto"/>
        <w:ind w:left="567" w:hanging="567"/>
        <w:rPr>
          <w:rFonts w:cs="Arial"/>
          <w:szCs w:val="24"/>
        </w:rPr>
      </w:pPr>
      <w:r w:rsidRPr="000C6E90">
        <w:rPr>
          <w:rFonts w:cs="Arial"/>
          <w:szCs w:val="24"/>
        </w:rPr>
        <w:t>The inflationary up-lifts will be applied as follows:</w:t>
      </w:r>
    </w:p>
    <w:p w14:paraId="55C987D4" w14:textId="348D7725" w:rsidR="006762E4" w:rsidRPr="006762E4" w:rsidRDefault="006762E4" w:rsidP="00467820">
      <w:pPr>
        <w:pStyle w:val="ListParagraph"/>
        <w:spacing w:line="276" w:lineRule="auto"/>
        <w:ind w:left="567"/>
        <w:rPr>
          <w:rFonts w:cs="Arial"/>
          <w:b/>
          <w:bCs/>
          <w:szCs w:val="24"/>
        </w:rPr>
      </w:pPr>
      <w:r w:rsidRPr="006762E4">
        <w:rPr>
          <w:rFonts w:cs="Arial"/>
          <w:b/>
          <w:bCs/>
          <w:szCs w:val="24"/>
        </w:rPr>
        <w:t>Home Care</w:t>
      </w:r>
    </w:p>
    <w:p w14:paraId="2F6CA729" w14:textId="3D4B48BB" w:rsidR="006762E4" w:rsidRPr="003E4C35" w:rsidRDefault="006762E4" w:rsidP="00467820">
      <w:pPr>
        <w:spacing w:line="276" w:lineRule="auto"/>
        <w:ind w:left="567"/>
        <w:rPr>
          <w:rFonts w:cs="Arial"/>
          <w:szCs w:val="24"/>
        </w:rPr>
      </w:pPr>
      <w:r w:rsidRPr="003E4C35">
        <w:rPr>
          <w:rFonts w:cs="Arial"/>
          <w:szCs w:val="24"/>
        </w:rPr>
        <w:t>All Home Care provider rates will be increased by 2.</w:t>
      </w:r>
      <w:r w:rsidR="00783877">
        <w:rPr>
          <w:rFonts w:cs="Arial"/>
          <w:szCs w:val="24"/>
        </w:rPr>
        <w:t>7</w:t>
      </w:r>
      <w:r w:rsidRPr="003E4C35">
        <w:rPr>
          <w:rFonts w:cs="Arial"/>
          <w:szCs w:val="24"/>
        </w:rPr>
        <w:t>%. This is a flat rate across all providers and will increase the hourly rate from £16.60 to £17.</w:t>
      </w:r>
      <w:r w:rsidR="00783877" w:rsidRPr="003E4C35">
        <w:rPr>
          <w:rFonts w:cs="Arial"/>
          <w:szCs w:val="24"/>
        </w:rPr>
        <w:t>0</w:t>
      </w:r>
      <w:r w:rsidR="00783877">
        <w:rPr>
          <w:rFonts w:cs="Arial"/>
          <w:szCs w:val="24"/>
        </w:rPr>
        <w:t>5</w:t>
      </w:r>
      <w:r w:rsidRPr="003E4C35">
        <w:rPr>
          <w:rFonts w:cs="Arial"/>
          <w:szCs w:val="24"/>
        </w:rPr>
        <w:t xml:space="preserve">. </w:t>
      </w:r>
    </w:p>
    <w:p w14:paraId="17A51E70" w14:textId="77777777" w:rsidR="006762E4" w:rsidRPr="006762E4" w:rsidRDefault="006762E4" w:rsidP="00467820">
      <w:pPr>
        <w:pStyle w:val="ListParagraph"/>
        <w:spacing w:line="276" w:lineRule="auto"/>
        <w:ind w:left="567"/>
        <w:rPr>
          <w:rFonts w:cs="Arial"/>
          <w:szCs w:val="24"/>
        </w:rPr>
      </w:pPr>
    </w:p>
    <w:p w14:paraId="76558CE2" w14:textId="77777777" w:rsidR="006762E4" w:rsidRPr="003E4C35" w:rsidRDefault="006762E4" w:rsidP="00467820">
      <w:pPr>
        <w:spacing w:line="276" w:lineRule="auto"/>
        <w:ind w:left="567"/>
        <w:rPr>
          <w:rFonts w:cs="Arial"/>
          <w:b/>
          <w:bCs/>
          <w:szCs w:val="24"/>
        </w:rPr>
      </w:pPr>
      <w:r w:rsidRPr="003E4C35">
        <w:rPr>
          <w:rFonts w:cs="Arial"/>
          <w:b/>
          <w:bCs/>
          <w:szCs w:val="24"/>
        </w:rPr>
        <w:t>Reablement</w:t>
      </w:r>
    </w:p>
    <w:p w14:paraId="4B0AB4C2" w14:textId="1F38B55F" w:rsidR="006762E4" w:rsidRPr="003E4C35" w:rsidRDefault="006762E4" w:rsidP="00467820">
      <w:pPr>
        <w:spacing w:line="276" w:lineRule="auto"/>
        <w:ind w:left="567"/>
        <w:rPr>
          <w:rFonts w:cs="Arial"/>
          <w:szCs w:val="24"/>
        </w:rPr>
      </w:pPr>
      <w:r w:rsidRPr="003E4C35">
        <w:rPr>
          <w:rFonts w:cs="Arial"/>
          <w:szCs w:val="24"/>
        </w:rPr>
        <w:t>All Reablement provider rates will be increased by 2.</w:t>
      </w:r>
      <w:r w:rsidR="00783877">
        <w:rPr>
          <w:rFonts w:cs="Arial"/>
          <w:szCs w:val="24"/>
        </w:rPr>
        <w:t>7</w:t>
      </w:r>
      <w:r w:rsidRPr="003E4C35">
        <w:rPr>
          <w:rFonts w:cs="Arial"/>
          <w:szCs w:val="24"/>
        </w:rPr>
        <w:t>%. This is a flat rate across all providers and will increase the hourly rate from £18.00 to £18.</w:t>
      </w:r>
      <w:r w:rsidR="00783877">
        <w:rPr>
          <w:rFonts w:cs="Arial"/>
          <w:szCs w:val="24"/>
        </w:rPr>
        <w:t>50</w:t>
      </w:r>
      <w:r w:rsidRPr="003E4C35">
        <w:rPr>
          <w:rFonts w:cs="Arial"/>
          <w:szCs w:val="24"/>
        </w:rPr>
        <w:t>.</w:t>
      </w:r>
    </w:p>
    <w:p w14:paraId="13ACE594" w14:textId="77777777" w:rsidR="006762E4" w:rsidRPr="006762E4" w:rsidRDefault="006762E4" w:rsidP="00467820">
      <w:pPr>
        <w:pStyle w:val="ListParagraph"/>
        <w:spacing w:line="276" w:lineRule="auto"/>
        <w:ind w:left="567"/>
        <w:rPr>
          <w:rFonts w:cs="Arial"/>
          <w:szCs w:val="24"/>
        </w:rPr>
      </w:pPr>
    </w:p>
    <w:p w14:paraId="74C55DA6" w14:textId="77777777" w:rsidR="006762E4" w:rsidRPr="003E4C35" w:rsidRDefault="006762E4" w:rsidP="00467820">
      <w:pPr>
        <w:spacing w:line="276" w:lineRule="auto"/>
        <w:ind w:left="567"/>
        <w:rPr>
          <w:rFonts w:cs="Arial"/>
          <w:b/>
          <w:bCs/>
          <w:szCs w:val="24"/>
        </w:rPr>
      </w:pPr>
      <w:r w:rsidRPr="003E4C35">
        <w:rPr>
          <w:rFonts w:cs="Arial"/>
          <w:b/>
          <w:bCs/>
          <w:szCs w:val="24"/>
        </w:rPr>
        <w:t>Bedded Care and Nursing Older People and Physical Disabilities</w:t>
      </w:r>
    </w:p>
    <w:p w14:paraId="52A6AE14" w14:textId="7E959886" w:rsidR="006762E4" w:rsidRDefault="006762E4" w:rsidP="00467820">
      <w:pPr>
        <w:spacing w:line="276" w:lineRule="auto"/>
        <w:ind w:left="567"/>
        <w:rPr>
          <w:rFonts w:cs="Arial"/>
          <w:szCs w:val="24"/>
        </w:rPr>
      </w:pPr>
      <w:r w:rsidRPr="003E4C35">
        <w:rPr>
          <w:rFonts w:cs="Arial"/>
          <w:szCs w:val="24"/>
        </w:rPr>
        <w:t>Bedded and Nursing provider rates will be increased by 2.</w:t>
      </w:r>
      <w:r w:rsidR="00783877">
        <w:rPr>
          <w:rFonts w:cs="Arial"/>
          <w:szCs w:val="24"/>
        </w:rPr>
        <w:t>7</w:t>
      </w:r>
      <w:r w:rsidRPr="003E4C35">
        <w:rPr>
          <w:rFonts w:cs="Arial"/>
          <w:szCs w:val="24"/>
        </w:rPr>
        <w:t xml:space="preserve">% where the standard package 2022-23 rate is below the West London Alliance (WLA) rate. This will apply to approximately 30% of beds across </w:t>
      </w:r>
      <w:proofErr w:type="gramStart"/>
      <w:r w:rsidRPr="003E4C35">
        <w:rPr>
          <w:rFonts w:cs="Arial"/>
          <w:szCs w:val="24"/>
        </w:rPr>
        <w:t>a number of</w:t>
      </w:r>
      <w:proofErr w:type="gramEnd"/>
      <w:r w:rsidRPr="003E4C35">
        <w:rPr>
          <w:rFonts w:cs="Arial"/>
          <w:szCs w:val="24"/>
        </w:rPr>
        <w:t xml:space="preserve"> providers. No increases will be agreed for providers where the rate is above WLA. The inflated rate for some providers may remain below the WLA rate. </w:t>
      </w:r>
    </w:p>
    <w:p w14:paraId="778BE001" w14:textId="77777777" w:rsidR="00D53759" w:rsidRPr="003E4C35" w:rsidRDefault="00D53759" w:rsidP="00467820">
      <w:pPr>
        <w:spacing w:line="276" w:lineRule="auto"/>
        <w:ind w:left="567"/>
        <w:rPr>
          <w:rFonts w:cs="Arial"/>
          <w:szCs w:val="24"/>
        </w:rPr>
      </w:pPr>
    </w:p>
    <w:p w14:paraId="5F710A02" w14:textId="16EFEA22" w:rsidR="006762E4" w:rsidRPr="003E4C35" w:rsidRDefault="006762E4" w:rsidP="00467820">
      <w:pPr>
        <w:spacing w:line="276" w:lineRule="auto"/>
        <w:ind w:left="567"/>
        <w:rPr>
          <w:rFonts w:cs="Arial"/>
          <w:szCs w:val="24"/>
        </w:rPr>
      </w:pPr>
      <w:r w:rsidRPr="003E4C35">
        <w:rPr>
          <w:rFonts w:cs="Arial"/>
          <w:szCs w:val="24"/>
        </w:rPr>
        <w:t xml:space="preserve">Non-standard packages will be considered by the Review Panel on a </w:t>
      </w:r>
      <w:proofErr w:type="gramStart"/>
      <w:r w:rsidRPr="003E4C35">
        <w:rPr>
          <w:rFonts w:cs="Arial"/>
          <w:szCs w:val="24"/>
        </w:rPr>
        <w:t>case by case</w:t>
      </w:r>
      <w:proofErr w:type="gramEnd"/>
      <w:r w:rsidRPr="003E4C35">
        <w:rPr>
          <w:rFonts w:cs="Arial"/>
          <w:szCs w:val="24"/>
        </w:rPr>
        <w:t xml:space="preserve"> basis and the maximum increase will be 2.</w:t>
      </w:r>
      <w:r w:rsidR="00783877">
        <w:rPr>
          <w:rFonts w:cs="Arial"/>
          <w:szCs w:val="24"/>
        </w:rPr>
        <w:t>7</w:t>
      </w:r>
      <w:r w:rsidRPr="003E4C35">
        <w:rPr>
          <w:rFonts w:cs="Arial"/>
          <w:szCs w:val="24"/>
        </w:rPr>
        <w:t xml:space="preserve">%. </w:t>
      </w:r>
    </w:p>
    <w:p w14:paraId="376D3172" w14:textId="77777777" w:rsidR="006762E4" w:rsidRPr="006762E4" w:rsidRDefault="006762E4" w:rsidP="00467820">
      <w:pPr>
        <w:pStyle w:val="ListParagraph"/>
        <w:spacing w:line="276" w:lineRule="auto"/>
        <w:ind w:left="567"/>
        <w:rPr>
          <w:rFonts w:cs="Arial"/>
          <w:szCs w:val="24"/>
        </w:rPr>
      </w:pPr>
    </w:p>
    <w:p w14:paraId="0E99D947" w14:textId="77777777" w:rsidR="006762E4" w:rsidRPr="003E4C35" w:rsidRDefault="006762E4" w:rsidP="00467820">
      <w:pPr>
        <w:spacing w:line="276" w:lineRule="auto"/>
        <w:ind w:left="567"/>
        <w:rPr>
          <w:rFonts w:cs="Arial"/>
          <w:b/>
          <w:bCs/>
          <w:szCs w:val="24"/>
        </w:rPr>
      </w:pPr>
      <w:r w:rsidRPr="003E4C35">
        <w:rPr>
          <w:rFonts w:cs="Arial"/>
          <w:b/>
          <w:bCs/>
          <w:szCs w:val="24"/>
        </w:rPr>
        <w:t>Learning Disabilities, Mental Health, CYAD and Community Day Services</w:t>
      </w:r>
    </w:p>
    <w:p w14:paraId="3F313782" w14:textId="1D927347" w:rsidR="006762E4" w:rsidRDefault="006762E4" w:rsidP="00467820">
      <w:pPr>
        <w:spacing w:line="276" w:lineRule="auto"/>
        <w:ind w:left="567"/>
        <w:rPr>
          <w:rFonts w:cs="Arial"/>
          <w:szCs w:val="24"/>
        </w:rPr>
      </w:pPr>
      <w:r w:rsidRPr="003E4C35">
        <w:rPr>
          <w:rFonts w:cs="Arial"/>
          <w:szCs w:val="24"/>
        </w:rPr>
        <w:t>Providers</w:t>
      </w:r>
      <w:r w:rsidR="00777A97">
        <w:rPr>
          <w:rFonts w:cs="Arial"/>
          <w:szCs w:val="24"/>
        </w:rPr>
        <w:t xml:space="preserve"> </w:t>
      </w:r>
      <w:r w:rsidR="00C54B54">
        <w:rPr>
          <w:rFonts w:cs="Arial"/>
          <w:szCs w:val="24"/>
        </w:rPr>
        <w:t>that make a request</w:t>
      </w:r>
      <w:r w:rsidR="00777A97">
        <w:rPr>
          <w:rFonts w:cs="Arial"/>
          <w:szCs w:val="24"/>
        </w:rPr>
        <w:t xml:space="preserve"> for an uplift within the timescale</w:t>
      </w:r>
      <w:r w:rsidR="00C54B54">
        <w:rPr>
          <w:rFonts w:cs="Arial"/>
          <w:szCs w:val="24"/>
        </w:rPr>
        <w:t xml:space="preserve"> will </w:t>
      </w:r>
      <w:r w:rsidR="00777A97">
        <w:rPr>
          <w:rFonts w:cs="Arial"/>
          <w:szCs w:val="24"/>
        </w:rPr>
        <w:t xml:space="preserve">receive an up-lift of </w:t>
      </w:r>
      <w:r w:rsidRPr="003E4C35">
        <w:rPr>
          <w:rFonts w:cs="Arial"/>
          <w:szCs w:val="24"/>
        </w:rPr>
        <w:t>2.</w:t>
      </w:r>
      <w:r w:rsidR="00783877">
        <w:rPr>
          <w:rFonts w:cs="Arial"/>
          <w:szCs w:val="24"/>
        </w:rPr>
        <w:t>7</w:t>
      </w:r>
      <w:r w:rsidRPr="003E4C35">
        <w:rPr>
          <w:rFonts w:cs="Arial"/>
          <w:szCs w:val="24"/>
        </w:rPr>
        <w:t>%</w:t>
      </w:r>
      <w:r w:rsidR="00777A97">
        <w:rPr>
          <w:rFonts w:cs="Arial"/>
          <w:szCs w:val="24"/>
        </w:rPr>
        <w:t>.</w:t>
      </w:r>
      <w:r w:rsidRPr="003E4C35">
        <w:rPr>
          <w:rFonts w:cs="Arial"/>
          <w:szCs w:val="24"/>
        </w:rPr>
        <w:t xml:space="preserve"> This will mean that </w:t>
      </w:r>
      <w:proofErr w:type="spellStart"/>
      <w:r w:rsidRPr="003E4C35">
        <w:rPr>
          <w:rFonts w:cs="Arial"/>
          <w:szCs w:val="24"/>
        </w:rPr>
        <w:t>CareCube</w:t>
      </w:r>
      <w:proofErr w:type="spellEnd"/>
      <w:r w:rsidRPr="003E4C35">
        <w:rPr>
          <w:rFonts w:cs="Arial"/>
          <w:szCs w:val="24"/>
        </w:rPr>
        <w:t xml:space="preserve"> will only be applied to new packages of care for people with learning disabilities.</w:t>
      </w:r>
    </w:p>
    <w:p w14:paraId="2D3D1A69" w14:textId="77777777" w:rsidR="003E4C35" w:rsidRPr="003E4C35" w:rsidRDefault="003E4C35" w:rsidP="00467820">
      <w:pPr>
        <w:spacing w:line="276" w:lineRule="auto"/>
        <w:ind w:left="567"/>
        <w:rPr>
          <w:rFonts w:cs="Arial"/>
          <w:szCs w:val="24"/>
        </w:rPr>
      </w:pPr>
    </w:p>
    <w:p w14:paraId="5E2B5156" w14:textId="77777777" w:rsidR="006762E4" w:rsidRPr="003E4C35" w:rsidRDefault="006762E4" w:rsidP="00467820">
      <w:pPr>
        <w:spacing w:line="276" w:lineRule="auto"/>
        <w:ind w:left="567"/>
        <w:rPr>
          <w:rFonts w:cs="Arial"/>
          <w:b/>
          <w:bCs/>
          <w:szCs w:val="24"/>
        </w:rPr>
      </w:pPr>
      <w:r w:rsidRPr="003E4C35">
        <w:rPr>
          <w:rFonts w:cs="Arial"/>
          <w:b/>
          <w:bCs/>
          <w:szCs w:val="24"/>
        </w:rPr>
        <w:t>Personal Budgets and Direct Payments</w:t>
      </w:r>
    </w:p>
    <w:p w14:paraId="3EDC4BA6" w14:textId="150E2C68" w:rsidR="006762E4" w:rsidRDefault="006762E4" w:rsidP="00467820">
      <w:pPr>
        <w:spacing w:line="276" w:lineRule="auto"/>
        <w:ind w:left="567"/>
        <w:rPr>
          <w:rFonts w:cs="Arial"/>
          <w:szCs w:val="24"/>
        </w:rPr>
      </w:pPr>
      <w:r w:rsidRPr="003E4C35">
        <w:rPr>
          <w:rFonts w:cs="Arial"/>
          <w:szCs w:val="24"/>
        </w:rPr>
        <w:lastRenderedPageBreak/>
        <w:t>A 2.</w:t>
      </w:r>
      <w:r w:rsidR="00783877">
        <w:rPr>
          <w:rFonts w:cs="Arial"/>
          <w:szCs w:val="24"/>
        </w:rPr>
        <w:t>7</w:t>
      </w:r>
      <w:r w:rsidRPr="003E4C35">
        <w:rPr>
          <w:rFonts w:cs="Arial"/>
          <w:szCs w:val="24"/>
        </w:rPr>
        <w:t>% inflationary increase will be applied if required through the annual review process.</w:t>
      </w:r>
    </w:p>
    <w:p w14:paraId="6C1FD940" w14:textId="77777777" w:rsidR="00D23061" w:rsidRDefault="00D23061" w:rsidP="00467820">
      <w:pPr>
        <w:spacing w:line="276" w:lineRule="auto"/>
        <w:ind w:left="567"/>
        <w:rPr>
          <w:rFonts w:cs="Arial"/>
          <w:b/>
          <w:bCs/>
          <w:szCs w:val="24"/>
        </w:rPr>
      </w:pPr>
    </w:p>
    <w:p w14:paraId="19DCC7F2" w14:textId="77777777" w:rsidR="00D23061" w:rsidRDefault="00D23061" w:rsidP="00467820">
      <w:pPr>
        <w:spacing w:line="276" w:lineRule="auto"/>
        <w:ind w:left="567"/>
        <w:rPr>
          <w:rFonts w:cs="Arial"/>
          <w:b/>
          <w:bCs/>
          <w:szCs w:val="24"/>
        </w:rPr>
      </w:pPr>
    </w:p>
    <w:p w14:paraId="244EFF5D" w14:textId="1CDE5E85" w:rsidR="006762E4" w:rsidRPr="003E4C35" w:rsidRDefault="006762E4" w:rsidP="00467820">
      <w:pPr>
        <w:spacing w:line="276" w:lineRule="auto"/>
        <w:ind w:left="567"/>
        <w:rPr>
          <w:rFonts w:cs="Arial"/>
          <w:b/>
          <w:bCs/>
          <w:szCs w:val="24"/>
        </w:rPr>
      </w:pPr>
      <w:r w:rsidRPr="003E4C35">
        <w:rPr>
          <w:rFonts w:cs="Arial"/>
          <w:b/>
          <w:bCs/>
          <w:szCs w:val="24"/>
        </w:rPr>
        <w:t>Shared Lives</w:t>
      </w:r>
    </w:p>
    <w:p w14:paraId="05A76762" w14:textId="0535AAD2" w:rsidR="006762E4" w:rsidRPr="003E4C35" w:rsidRDefault="006762E4" w:rsidP="00467820">
      <w:pPr>
        <w:spacing w:line="276" w:lineRule="auto"/>
        <w:ind w:left="567"/>
        <w:rPr>
          <w:rFonts w:cs="Arial"/>
          <w:szCs w:val="24"/>
        </w:rPr>
      </w:pPr>
      <w:r w:rsidRPr="003E4C35">
        <w:rPr>
          <w:rFonts w:cs="Arial"/>
          <w:szCs w:val="24"/>
        </w:rPr>
        <w:t>A 2.</w:t>
      </w:r>
      <w:r w:rsidR="00783877">
        <w:rPr>
          <w:rFonts w:cs="Arial"/>
          <w:szCs w:val="24"/>
        </w:rPr>
        <w:t>7</w:t>
      </w:r>
      <w:r w:rsidRPr="003E4C35">
        <w:rPr>
          <w:rFonts w:cs="Arial"/>
          <w:szCs w:val="24"/>
        </w:rPr>
        <w:t xml:space="preserve">% increase to the current rates low. medium and high will be applied. </w:t>
      </w:r>
    </w:p>
    <w:p w14:paraId="0A2395BA" w14:textId="77777777" w:rsidR="003E4C35" w:rsidRDefault="003E4C35" w:rsidP="003E4C35">
      <w:pPr>
        <w:rPr>
          <w:rFonts w:cs="Arial"/>
          <w:b/>
          <w:bCs/>
          <w:szCs w:val="24"/>
        </w:rPr>
      </w:pPr>
    </w:p>
    <w:p w14:paraId="747133CD" w14:textId="57A6CE85" w:rsidR="00E2227D" w:rsidRDefault="00E2227D" w:rsidP="003E4C35">
      <w:pPr>
        <w:rPr>
          <w:rFonts w:cs="Arial"/>
          <w:b/>
          <w:bCs/>
          <w:szCs w:val="24"/>
        </w:rPr>
      </w:pPr>
      <w:r>
        <w:rPr>
          <w:rFonts w:cs="Arial"/>
          <w:b/>
          <w:bCs/>
          <w:szCs w:val="24"/>
        </w:rPr>
        <w:t>Other Factors Effecting the Market</w:t>
      </w:r>
    </w:p>
    <w:p w14:paraId="2190BEBE" w14:textId="77777777" w:rsidR="00E2227D" w:rsidRDefault="00E2227D" w:rsidP="00E2227D">
      <w:pPr>
        <w:pStyle w:val="ListParagraph"/>
        <w:rPr>
          <w:rFonts w:cs="Arial"/>
        </w:rPr>
      </w:pPr>
    </w:p>
    <w:p w14:paraId="48F24A7A" w14:textId="77777777" w:rsidR="00E2227D" w:rsidRDefault="00E2227D">
      <w:pPr>
        <w:pStyle w:val="ListParagraph"/>
        <w:numPr>
          <w:ilvl w:val="0"/>
          <w:numId w:val="16"/>
        </w:numPr>
        <w:ind w:left="567" w:hanging="567"/>
        <w:rPr>
          <w:rFonts w:cs="Arial"/>
        </w:rPr>
      </w:pPr>
      <w:r>
        <w:rPr>
          <w:rFonts w:cs="Arial"/>
        </w:rPr>
        <w:t>There are other factors that will have an impact on the market during the three-year period which will need to be monitored:</w:t>
      </w:r>
    </w:p>
    <w:p w14:paraId="122000CA" w14:textId="77777777" w:rsidR="00E2227D" w:rsidRDefault="00E2227D" w:rsidP="00E2227D">
      <w:pPr>
        <w:pStyle w:val="ListParagraph"/>
        <w:rPr>
          <w:rFonts w:cs="Arial"/>
        </w:rPr>
      </w:pPr>
    </w:p>
    <w:p w14:paraId="70CB1062" w14:textId="77777777" w:rsidR="00E2227D" w:rsidRDefault="00E2227D">
      <w:pPr>
        <w:pStyle w:val="ListParagraph"/>
        <w:numPr>
          <w:ilvl w:val="0"/>
          <w:numId w:val="10"/>
        </w:numPr>
        <w:ind w:left="927"/>
        <w:contextualSpacing/>
        <w:rPr>
          <w:rFonts w:cs="Arial"/>
        </w:rPr>
      </w:pPr>
      <w:r w:rsidRPr="00F02434">
        <w:rPr>
          <w:rFonts w:cs="Arial"/>
        </w:rPr>
        <w:t>Joint health packages will receive the inflationary increase awarded by ICB, which is yet to confirmed, but understood to be about 3% for 2023/24 for NWL, this is in line with established practices and ensures that the agreed funding split remains in situ.</w:t>
      </w:r>
    </w:p>
    <w:p w14:paraId="394078FC" w14:textId="77777777" w:rsidR="00E2227D" w:rsidRDefault="00E2227D" w:rsidP="000C6E90">
      <w:pPr>
        <w:pStyle w:val="ListParagraph"/>
        <w:ind w:left="927"/>
        <w:rPr>
          <w:rFonts w:cs="Arial"/>
        </w:rPr>
      </w:pPr>
    </w:p>
    <w:p w14:paraId="796E3F46" w14:textId="77777777" w:rsidR="00E2227D" w:rsidRDefault="00E2227D">
      <w:pPr>
        <w:pStyle w:val="ListParagraph"/>
        <w:numPr>
          <w:ilvl w:val="0"/>
          <w:numId w:val="10"/>
        </w:numPr>
        <w:ind w:left="927"/>
        <w:contextualSpacing/>
        <w:rPr>
          <w:rFonts w:cs="Arial"/>
        </w:rPr>
      </w:pPr>
      <w:r w:rsidRPr="00F02434">
        <w:rPr>
          <w:rFonts w:cs="Arial"/>
        </w:rPr>
        <w:t>Price evidence from the market</w:t>
      </w:r>
    </w:p>
    <w:p w14:paraId="157E5792" w14:textId="77777777" w:rsidR="00E2227D" w:rsidRPr="0086708A" w:rsidRDefault="00E2227D" w:rsidP="000C6E90">
      <w:pPr>
        <w:ind w:left="916"/>
        <w:rPr>
          <w:rFonts w:cs="Arial"/>
          <w:szCs w:val="24"/>
        </w:rPr>
      </w:pPr>
      <w:r w:rsidRPr="0086708A">
        <w:rPr>
          <w:rFonts w:cs="Arial"/>
          <w:szCs w:val="24"/>
        </w:rPr>
        <w:t>The</w:t>
      </w:r>
      <w:r>
        <w:rPr>
          <w:rFonts w:cs="Arial"/>
          <w:szCs w:val="24"/>
        </w:rPr>
        <w:t>re</w:t>
      </w:r>
      <w:r w:rsidRPr="0086708A">
        <w:rPr>
          <w:rFonts w:cs="Arial"/>
          <w:szCs w:val="24"/>
        </w:rPr>
        <w:t xml:space="preserve"> are various sources of evidence about the costs of providing care proposing a range of rates. For example, information gathered through the Government’s cost of care exercise, ADASS. The overarching theme is that inflation and other pressures are increasing the cost. The level of increase </w:t>
      </w:r>
      <w:proofErr w:type="gramStart"/>
      <w:r w:rsidRPr="0086708A">
        <w:rPr>
          <w:rFonts w:cs="Arial"/>
          <w:szCs w:val="24"/>
        </w:rPr>
        <w:t>varies</w:t>
      </w:r>
      <w:proofErr w:type="gramEnd"/>
      <w:r w:rsidRPr="0086708A">
        <w:rPr>
          <w:rFonts w:cs="Arial"/>
          <w:szCs w:val="24"/>
        </w:rPr>
        <w:t xml:space="preserve"> and Harrow’s approach is to support inflation increases within its affordability. </w:t>
      </w:r>
    </w:p>
    <w:p w14:paraId="2AF22853" w14:textId="77777777" w:rsidR="00E2227D" w:rsidRDefault="00E2227D" w:rsidP="000C6E90">
      <w:pPr>
        <w:pStyle w:val="ListParagraph"/>
        <w:ind w:left="927"/>
        <w:rPr>
          <w:rFonts w:cs="Arial"/>
        </w:rPr>
      </w:pPr>
    </w:p>
    <w:p w14:paraId="2701B90B" w14:textId="77777777" w:rsidR="00E2227D" w:rsidRDefault="00E2227D">
      <w:pPr>
        <w:pStyle w:val="ListParagraph"/>
        <w:numPr>
          <w:ilvl w:val="0"/>
          <w:numId w:val="10"/>
        </w:numPr>
        <w:ind w:left="927"/>
        <w:contextualSpacing/>
        <w:rPr>
          <w:rFonts w:cs="Arial"/>
        </w:rPr>
      </w:pPr>
      <w:r>
        <w:rPr>
          <w:rFonts w:cs="Arial"/>
        </w:rPr>
        <w:t>Strategic Developments with the Provider Market</w:t>
      </w:r>
    </w:p>
    <w:p w14:paraId="08249A04" w14:textId="3BEA009D" w:rsidR="00E2227D" w:rsidRPr="00580EA5" w:rsidRDefault="00E2227D" w:rsidP="000C6E90">
      <w:pPr>
        <w:ind w:left="927"/>
        <w:rPr>
          <w:rFonts w:cs="Arial"/>
          <w:szCs w:val="24"/>
        </w:rPr>
      </w:pPr>
      <w:r w:rsidRPr="00580EA5">
        <w:rPr>
          <w:rFonts w:cs="Arial"/>
          <w:szCs w:val="24"/>
        </w:rPr>
        <w:t xml:space="preserve">There are several developments with the provider market that will be considered during the </w:t>
      </w:r>
      <w:r w:rsidR="00B23445" w:rsidRPr="00580EA5">
        <w:rPr>
          <w:rFonts w:cs="Arial"/>
          <w:szCs w:val="24"/>
        </w:rPr>
        <w:t>three-year</w:t>
      </w:r>
      <w:r w:rsidRPr="00580EA5">
        <w:rPr>
          <w:rFonts w:cs="Arial"/>
          <w:szCs w:val="24"/>
        </w:rPr>
        <w:t xml:space="preserve"> period. These include the implementation of the be</w:t>
      </w:r>
      <w:r>
        <w:rPr>
          <w:rFonts w:cs="Arial"/>
          <w:szCs w:val="24"/>
        </w:rPr>
        <w:t>d</w:t>
      </w:r>
      <w:r w:rsidRPr="00580EA5">
        <w:rPr>
          <w:rFonts w:cs="Arial"/>
          <w:szCs w:val="24"/>
        </w:rPr>
        <w:t>ded care strategy</w:t>
      </w:r>
      <w:r>
        <w:rPr>
          <w:rFonts w:cs="Arial"/>
          <w:szCs w:val="24"/>
        </w:rPr>
        <w:t xml:space="preserve"> and</w:t>
      </w:r>
      <w:r w:rsidRPr="00580EA5">
        <w:rPr>
          <w:rFonts w:cs="Arial"/>
          <w:szCs w:val="24"/>
        </w:rPr>
        <w:t xml:space="preserve"> the development of a home care strategy</w:t>
      </w:r>
      <w:r>
        <w:rPr>
          <w:rFonts w:cs="Arial"/>
          <w:szCs w:val="24"/>
        </w:rPr>
        <w:t>.</w:t>
      </w:r>
      <w:r w:rsidRPr="00580EA5">
        <w:rPr>
          <w:rFonts w:cs="Arial"/>
          <w:szCs w:val="24"/>
        </w:rPr>
        <w:t xml:space="preserve"> These will have an impact on the market and through this process the rates will be explored further.</w:t>
      </w:r>
    </w:p>
    <w:p w14:paraId="7F3535B6" w14:textId="77777777" w:rsidR="00E2227D" w:rsidRPr="00580EA5" w:rsidRDefault="00E2227D" w:rsidP="000C6E90">
      <w:pPr>
        <w:pStyle w:val="ListParagraph"/>
        <w:ind w:left="927"/>
        <w:rPr>
          <w:rFonts w:cs="Arial"/>
        </w:rPr>
      </w:pPr>
    </w:p>
    <w:p w14:paraId="375A720A" w14:textId="77777777" w:rsidR="00E2227D" w:rsidRDefault="00E2227D">
      <w:pPr>
        <w:pStyle w:val="ListParagraph"/>
        <w:numPr>
          <w:ilvl w:val="0"/>
          <w:numId w:val="10"/>
        </w:numPr>
        <w:ind w:left="927"/>
        <w:contextualSpacing/>
        <w:rPr>
          <w:rFonts w:cs="Arial"/>
        </w:rPr>
      </w:pPr>
      <w:r>
        <w:rPr>
          <w:rFonts w:cs="Arial"/>
        </w:rPr>
        <w:t>Service contracts are not included in the inflationary up-lift process. During 2023-24 contracts are being redesigned and commissioned and through this process the specification will be reviewed within the current financial envelope.</w:t>
      </w:r>
    </w:p>
    <w:p w14:paraId="23D5CB44" w14:textId="77777777" w:rsidR="00E2227D" w:rsidRDefault="00E2227D" w:rsidP="000C6E90">
      <w:pPr>
        <w:pStyle w:val="ListParagraph"/>
        <w:ind w:left="927"/>
        <w:rPr>
          <w:rFonts w:cs="Arial"/>
        </w:rPr>
      </w:pPr>
    </w:p>
    <w:p w14:paraId="5BE3BD2D" w14:textId="77777777" w:rsidR="00E2227D" w:rsidRDefault="00E2227D">
      <w:pPr>
        <w:pStyle w:val="ListParagraph"/>
        <w:numPr>
          <w:ilvl w:val="0"/>
          <w:numId w:val="10"/>
        </w:numPr>
        <w:ind w:left="927"/>
        <w:contextualSpacing/>
        <w:rPr>
          <w:rFonts w:cs="Arial"/>
        </w:rPr>
      </w:pPr>
      <w:r>
        <w:rPr>
          <w:rFonts w:cs="Arial"/>
        </w:rPr>
        <w:t>Impact on recovery of assessed contributions for the increased cost of care.  Whilst the uplift in the costs of care will be backdated to 1</w:t>
      </w:r>
      <w:r w:rsidRPr="009D6D2D">
        <w:rPr>
          <w:rFonts w:cs="Arial"/>
          <w:vertAlign w:val="superscript"/>
        </w:rPr>
        <w:t>st</w:t>
      </w:r>
      <w:r>
        <w:rPr>
          <w:rFonts w:cs="Arial"/>
        </w:rPr>
        <w:t xml:space="preserve"> April 2023, notification of this increase will need to be given to citizens.  It is proposed that a communication will be sent out with the June invoice (during the first week of July) advising the increase which will commence from 1</w:t>
      </w:r>
      <w:r w:rsidRPr="001F6238">
        <w:rPr>
          <w:rFonts w:cs="Arial"/>
          <w:vertAlign w:val="superscript"/>
        </w:rPr>
        <w:t>st</w:t>
      </w:r>
      <w:r>
        <w:rPr>
          <w:rFonts w:cs="Arial"/>
        </w:rPr>
        <w:t xml:space="preserve"> August and be reflected in the August invoice which will be raised at the beginning of September.</w:t>
      </w:r>
    </w:p>
    <w:p w14:paraId="354DACEB" w14:textId="77777777" w:rsidR="00E2227D" w:rsidRDefault="00E2227D" w:rsidP="003E4C35">
      <w:pPr>
        <w:rPr>
          <w:rFonts w:cs="Arial"/>
          <w:b/>
          <w:bCs/>
          <w:szCs w:val="24"/>
        </w:rPr>
      </w:pPr>
    </w:p>
    <w:p w14:paraId="058B5E09" w14:textId="21FFFBF2" w:rsidR="003E4C35" w:rsidRPr="00F02A42" w:rsidRDefault="003E4C35" w:rsidP="003E4C35">
      <w:pPr>
        <w:rPr>
          <w:rFonts w:cs="Arial"/>
          <w:b/>
          <w:bCs/>
          <w:szCs w:val="24"/>
        </w:rPr>
      </w:pPr>
      <w:r w:rsidRPr="00F02A42">
        <w:rPr>
          <w:rFonts w:cs="Arial"/>
          <w:b/>
          <w:bCs/>
          <w:szCs w:val="24"/>
        </w:rPr>
        <w:t>Additional One-Off payment 2023-24</w:t>
      </w:r>
    </w:p>
    <w:p w14:paraId="62671ADC" w14:textId="77777777" w:rsidR="003E4C35" w:rsidRDefault="003E4C35" w:rsidP="003E4C35">
      <w:pPr>
        <w:rPr>
          <w:rFonts w:cs="Arial"/>
          <w:szCs w:val="24"/>
        </w:rPr>
      </w:pPr>
    </w:p>
    <w:p w14:paraId="5360E97D" w14:textId="1D40A459" w:rsidR="003E4C35" w:rsidRPr="000C6E90" w:rsidRDefault="003E4C35">
      <w:pPr>
        <w:pStyle w:val="ListParagraph"/>
        <w:numPr>
          <w:ilvl w:val="0"/>
          <w:numId w:val="16"/>
        </w:numPr>
        <w:ind w:left="567" w:hanging="567"/>
        <w:rPr>
          <w:rFonts w:cs="Arial"/>
          <w:szCs w:val="24"/>
        </w:rPr>
      </w:pPr>
      <w:r w:rsidRPr="000C6E90">
        <w:rPr>
          <w:rFonts w:cs="Arial"/>
          <w:szCs w:val="24"/>
        </w:rPr>
        <w:t xml:space="preserve">An additional £2m is proposed to support the provider market as a one-off lump sum for 2023-24. This will mean that for 2023-24 there is a total </w:t>
      </w:r>
      <w:r w:rsidRPr="000C6E90">
        <w:rPr>
          <w:rFonts w:cs="Arial"/>
          <w:szCs w:val="24"/>
        </w:rPr>
        <w:lastRenderedPageBreak/>
        <w:t xml:space="preserve">of </w:t>
      </w:r>
      <w:r w:rsidR="00783877">
        <w:rPr>
          <w:rFonts w:cs="Arial"/>
          <w:szCs w:val="24"/>
        </w:rPr>
        <w:t>5</w:t>
      </w:r>
      <w:r w:rsidRPr="000C6E90">
        <w:rPr>
          <w:rFonts w:cs="Arial"/>
          <w:szCs w:val="24"/>
        </w:rPr>
        <w:t>% increase which is a combination of the inflationary up-lift</w:t>
      </w:r>
      <w:r w:rsidR="00783877">
        <w:rPr>
          <w:rFonts w:cs="Arial"/>
          <w:szCs w:val="24"/>
        </w:rPr>
        <w:t xml:space="preserve"> (2.7%)</w:t>
      </w:r>
      <w:r w:rsidRPr="000C6E90">
        <w:rPr>
          <w:rFonts w:cs="Arial"/>
          <w:szCs w:val="24"/>
        </w:rPr>
        <w:t xml:space="preserve"> and the one-off lump sum</w:t>
      </w:r>
      <w:r w:rsidR="00783877">
        <w:rPr>
          <w:rFonts w:cs="Arial"/>
          <w:szCs w:val="24"/>
        </w:rPr>
        <w:t xml:space="preserve"> (2.3%)</w:t>
      </w:r>
      <w:r w:rsidRPr="000C6E90">
        <w:rPr>
          <w:rFonts w:cs="Arial"/>
          <w:szCs w:val="24"/>
        </w:rPr>
        <w:t xml:space="preserve">. </w:t>
      </w:r>
    </w:p>
    <w:p w14:paraId="7B223577" w14:textId="77777777" w:rsidR="003E4C35" w:rsidRPr="00361F02" w:rsidRDefault="003E4C35" w:rsidP="000C6E90">
      <w:pPr>
        <w:ind w:left="567" w:hanging="567"/>
        <w:rPr>
          <w:rFonts w:cs="Arial"/>
          <w:szCs w:val="24"/>
        </w:rPr>
      </w:pPr>
    </w:p>
    <w:p w14:paraId="6F29CF4C" w14:textId="0F96143F" w:rsidR="00654185" w:rsidRDefault="003E4C35" w:rsidP="00BD1898">
      <w:pPr>
        <w:pStyle w:val="ListParagraph"/>
        <w:numPr>
          <w:ilvl w:val="0"/>
          <w:numId w:val="16"/>
        </w:numPr>
        <w:ind w:left="567" w:hanging="567"/>
        <w:rPr>
          <w:rFonts w:cs="Arial"/>
        </w:rPr>
      </w:pPr>
      <w:r w:rsidRPr="00361F02">
        <w:rPr>
          <w:rFonts w:cs="Arial"/>
        </w:rPr>
        <w:t>The impact on the rates will be a</w:t>
      </w:r>
      <w:r w:rsidR="00654185">
        <w:rPr>
          <w:rFonts w:cs="Arial"/>
        </w:rPr>
        <w:t xml:space="preserve"> total </w:t>
      </w:r>
      <w:r w:rsidRPr="00361F02">
        <w:rPr>
          <w:rFonts w:cs="Arial"/>
        </w:rPr>
        <w:t xml:space="preserve">increase </w:t>
      </w:r>
      <w:r w:rsidR="00654185">
        <w:rPr>
          <w:rFonts w:cs="Arial"/>
        </w:rPr>
        <w:t>of 5% in 2023-24, with the 2024</w:t>
      </w:r>
      <w:r w:rsidR="00B23445">
        <w:rPr>
          <w:rFonts w:cs="Arial"/>
        </w:rPr>
        <w:t>-25</w:t>
      </w:r>
      <w:r w:rsidR="00654185">
        <w:rPr>
          <w:rFonts w:cs="Arial"/>
        </w:rPr>
        <w:t xml:space="preserve"> starting rates reflecting the ongoing increase of 2.7%</w:t>
      </w:r>
      <w:r w:rsidR="00BD1898" w:rsidRPr="00BD1898">
        <w:rPr>
          <w:rFonts w:cs="Arial"/>
        </w:rPr>
        <w:t xml:space="preserve"> </w:t>
      </w:r>
    </w:p>
    <w:p w14:paraId="32027685" w14:textId="77777777" w:rsidR="00654185" w:rsidRPr="00654185" w:rsidRDefault="00654185" w:rsidP="00B23445">
      <w:pPr>
        <w:pStyle w:val="ListParagraph"/>
        <w:rPr>
          <w:rFonts w:cs="Arial"/>
        </w:rPr>
      </w:pPr>
    </w:p>
    <w:p w14:paraId="6B6B9894" w14:textId="1846CCC1" w:rsidR="001957FE" w:rsidRDefault="00BD1898" w:rsidP="00BD1898">
      <w:pPr>
        <w:pStyle w:val="ListParagraph"/>
        <w:numPr>
          <w:ilvl w:val="0"/>
          <w:numId w:val="16"/>
        </w:numPr>
        <w:ind w:left="567" w:hanging="567"/>
        <w:rPr>
          <w:rFonts w:cs="Arial"/>
        </w:rPr>
      </w:pPr>
      <w:r>
        <w:rPr>
          <w:rFonts w:cs="Arial"/>
        </w:rPr>
        <w:t>The 2.</w:t>
      </w:r>
      <w:r w:rsidR="005E32FE">
        <w:rPr>
          <w:rFonts w:cs="Arial"/>
        </w:rPr>
        <w:t>3</w:t>
      </w:r>
      <w:r>
        <w:rPr>
          <w:rFonts w:cs="Arial"/>
        </w:rPr>
        <w:t xml:space="preserve">5% increase in 2024-25 will be applied to the 2023-24 rates after </w:t>
      </w:r>
      <w:r w:rsidR="005E32FE">
        <w:rPr>
          <w:rFonts w:cs="Arial"/>
        </w:rPr>
        <w:t xml:space="preserve">the permanent </w:t>
      </w:r>
      <w:r>
        <w:rPr>
          <w:rFonts w:cs="Arial"/>
        </w:rPr>
        <w:t>uplift of 2.</w:t>
      </w:r>
      <w:r w:rsidR="005E32FE">
        <w:rPr>
          <w:rFonts w:cs="Arial"/>
        </w:rPr>
        <w:t>7</w:t>
      </w:r>
      <w:r>
        <w:rPr>
          <w:rFonts w:cs="Arial"/>
        </w:rPr>
        <w:t xml:space="preserve">%, and not </w:t>
      </w:r>
      <w:r w:rsidR="005E32FE">
        <w:rPr>
          <w:rFonts w:cs="Arial"/>
        </w:rPr>
        <w:t>5</w:t>
      </w:r>
      <w:r>
        <w:rPr>
          <w:rFonts w:cs="Arial"/>
        </w:rPr>
        <w:t xml:space="preserve">% which includes the one of provision for 2023-24 only.  </w:t>
      </w:r>
    </w:p>
    <w:p w14:paraId="19C9563C" w14:textId="77777777" w:rsidR="001957FE" w:rsidRPr="001957FE" w:rsidRDefault="001957FE" w:rsidP="00B23445">
      <w:pPr>
        <w:pStyle w:val="ListParagraph"/>
        <w:rPr>
          <w:rFonts w:cs="Arial"/>
        </w:rPr>
      </w:pPr>
    </w:p>
    <w:p w14:paraId="47EA3E72" w14:textId="2002FE8F" w:rsidR="003E4C35" w:rsidRPr="00343FB0" w:rsidRDefault="001957FE" w:rsidP="00343FB0">
      <w:pPr>
        <w:pStyle w:val="ListParagraph"/>
        <w:numPr>
          <w:ilvl w:val="0"/>
          <w:numId w:val="16"/>
        </w:numPr>
        <w:ind w:left="567" w:hanging="567"/>
        <w:rPr>
          <w:rFonts w:cs="Arial"/>
        </w:rPr>
      </w:pPr>
      <w:r w:rsidRPr="001957FE">
        <w:rPr>
          <w:rFonts w:cs="Arial"/>
        </w:rPr>
        <w:t xml:space="preserve">In practice this will mean that in cash terms, providers will not see an increase in rates in </w:t>
      </w:r>
      <w:r w:rsidR="00BD1898" w:rsidRPr="001957FE">
        <w:rPr>
          <w:rFonts w:cs="Arial"/>
        </w:rPr>
        <w:t xml:space="preserve">2024-25 </w:t>
      </w:r>
      <w:r w:rsidRPr="001957FE">
        <w:rPr>
          <w:rFonts w:cs="Arial"/>
        </w:rPr>
        <w:t xml:space="preserve">as the </w:t>
      </w:r>
      <w:r w:rsidR="002E225A">
        <w:rPr>
          <w:rFonts w:cs="Arial"/>
        </w:rPr>
        <w:t>2.35</w:t>
      </w:r>
      <w:r w:rsidRPr="001957FE">
        <w:rPr>
          <w:rFonts w:cs="Arial"/>
        </w:rPr>
        <w:t xml:space="preserve">% uplift will be </w:t>
      </w:r>
      <w:r w:rsidR="002E225A">
        <w:rPr>
          <w:rFonts w:cs="Arial"/>
        </w:rPr>
        <w:t xml:space="preserve">largely </w:t>
      </w:r>
      <w:r w:rsidRPr="001957FE">
        <w:rPr>
          <w:rFonts w:cs="Arial"/>
        </w:rPr>
        <w:t xml:space="preserve">equivalent to the one-off increase </w:t>
      </w:r>
      <w:r w:rsidR="002E225A">
        <w:rPr>
          <w:rFonts w:cs="Arial"/>
        </w:rPr>
        <w:t xml:space="preserve">of 2.3% </w:t>
      </w:r>
      <w:r w:rsidRPr="001957FE">
        <w:rPr>
          <w:rFonts w:cs="Arial"/>
        </w:rPr>
        <w:t>from 2023-24</w:t>
      </w:r>
      <w:r>
        <w:rPr>
          <w:rFonts w:cs="Arial"/>
        </w:rPr>
        <w:t>.</w:t>
      </w:r>
    </w:p>
    <w:p w14:paraId="006A73AF" w14:textId="77777777" w:rsidR="003E4C35" w:rsidRPr="00361F02" w:rsidRDefault="003E4C35" w:rsidP="000C6E90">
      <w:pPr>
        <w:pStyle w:val="ListParagraph"/>
        <w:ind w:left="567" w:hanging="567"/>
        <w:rPr>
          <w:rFonts w:cs="Arial"/>
        </w:rPr>
      </w:pPr>
    </w:p>
    <w:p w14:paraId="63FE90A7" w14:textId="3BCC5594" w:rsidR="003E4C35" w:rsidRPr="000C6E90" w:rsidRDefault="003E4C35">
      <w:pPr>
        <w:pStyle w:val="ListParagraph"/>
        <w:numPr>
          <w:ilvl w:val="0"/>
          <w:numId w:val="16"/>
        </w:numPr>
        <w:ind w:left="567" w:hanging="567"/>
        <w:rPr>
          <w:rFonts w:cs="Arial"/>
          <w:szCs w:val="24"/>
        </w:rPr>
      </w:pPr>
      <w:r w:rsidRPr="000C6E90">
        <w:rPr>
          <w:rFonts w:cs="Arial"/>
          <w:szCs w:val="24"/>
        </w:rPr>
        <w:t>This additional uplift will be paid over the course of the year as part of the monthly payment to providers, such that the increase will only be paid to care which has been delivered.</w:t>
      </w:r>
    </w:p>
    <w:p w14:paraId="28FBD008" w14:textId="77777777" w:rsidR="003E4C35" w:rsidRDefault="003E4C35" w:rsidP="000C6E90">
      <w:pPr>
        <w:ind w:left="567" w:hanging="567"/>
        <w:rPr>
          <w:rFonts w:cs="Arial"/>
          <w:szCs w:val="24"/>
        </w:rPr>
      </w:pPr>
    </w:p>
    <w:p w14:paraId="38005419" w14:textId="5F687E66" w:rsidR="003E4C35" w:rsidRPr="000C6E90" w:rsidRDefault="003E4C35">
      <w:pPr>
        <w:pStyle w:val="ListParagraph"/>
        <w:numPr>
          <w:ilvl w:val="0"/>
          <w:numId w:val="16"/>
        </w:numPr>
        <w:ind w:left="567" w:hanging="567"/>
        <w:rPr>
          <w:rFonts w:cs="Arial"/>
          <w:szCs w:val="24"/>
        </w:rPr>
      </w:pPr>
      <w:r w:rsidRPr="000C6E90">
        <w:rPr>
          <w:rFonts w:cs="Arial"/>
          <w:szCs w:val="24"/>
        </w:rPr>
        <w:t>The mechanics of how this can be operationalised in Mosaic are being explored, the requirement to reverse the one-off allocation by 31</w:t>
      </w:r>
      <w:r w:rsidRPr="000C6E90">
        <w:rPr>
          <w:rFonts w:cs="Arial"/>
          <w:szCs w:val="24"/>
          <w:vertAlign w:val="superscript"/>
        </w:rPr>
        <w:t>st</w:t>
      </w:r>
      <w:r w:rsidRPr="000C6E90">
        <w:rPr>
          <w:rFonts w:cs="Arial"/>
          <w:szCs w:val="24"/>
        </w:rPr>
        <w:t xml:space="preserve"> March 2024 potentially needing technical support to resolve.</w:t>
      </w:r>
    </w:p>
    <w:p w14:paraId="46C5F16F" w14:textId="77777777" w:rsidR="003E4C35" w:rsidRDefault="003E4C35" w:rsidP="000C6E90">
      <w:pPr>
        <w:ind w:left="567" w:hanging="567"/>
        <w:rPr>
          <w:rFonts w:cs="Arial"/>
          <w:szCs w:val="24"/>
        </w:rPr>
      </w:pPr>
    </w:p>
    <w:p w14:paraId="56EEF733" w14:textId="3E3E3F81" w:rsidR="003E4C35" w:rsidRPr="000C6E90" w:rsidRDefault="003E4C35" w:rsidP="000C6E90">
      <w:pPr>
        <w:pStyle w:val="ListParagraph"/>
        <w:ind w:left="567"/>
        <w:rPr>
          <w:rFonts w:cs="Arial"/>
          <w:b/>
          <w:bCs/>
          <w:szCs w:val="24"/>
        </w:rPr>
      </w:pPr>
      <w:r w:rsidRPr="000C6E90">
        <w:rPr>
          <w:rFonts w:cs="Arial"/>
          <w:b/>
          <w:bCs/>
          <w:szCs w:val="24"/>
        </w:rPr>
        <w:t xml:space="preserve">Implementation </w:t>
      </w:r>
      <w:r w:rsidR="00467820" w:rsidRPr="000C6E90">
        <w:rPr>
          <w:rFonts w:cs="Arial"/>
          <w:b/>
          <w:bCs/>
          <w:szCs w:val="24"/>
        </w:rPr>
        <w:t xml:space="preserve">and </w:t>
      </w:r>
      <w:r w:rsidRPr="000C6E90">
        <w:rPr>
          <w:rFonts w:cs="Arial"/>
          <w:b/>
          <w:bCs/>
          <w:szCs w:val="24"/>
        </w:rPr>
        <w:t>Timeline</w:t>
      </w:r>
    </w:p>
    <w:p w14:paraId="5266F176" w14:textId="77777777" w:rsidR="003E4C35" w:rsidRPr="006435BC" w:rsidRDefault="003E4C35" w:rsidP="000C6E90">
      <w:pPr>
        <w:ind w:left="567" w:hanging="567"/>
        <w:rPr>
          <w:rFonts w:cs="Arial"/>
          <w:b/>
          <w:bCs/>
          <w:szCs w:val="24"/>
        </w:rPr>
      </w:pPr>
    </w:p>
    <w:p w14:paraId="51D4752D" w14:textId="0B41AD0A" w:rsidR="00467820" w:rsidRPr="000C6E90" w:rsidRDefault="00467820">
      <w:pPr>
        <w:pStyle w:val="ListParagraph"/>
        <w:numPr>
          <w:ilvl w:val="0"/>
          <w:numId w:val="16"/>
        </w:numPr>
        <w:ind w:left="567" w:hanging="567"/>
        <w:rPr>
          <w:rFonts w:cs="Arial"/>
          <w:szCs w:val="24"/>
        </w:rPr>
      </w:pPr>
      <w:r w:rsidRPr="000C6E90">
        <w:rPr>
          <w:rFonts w:cs="Arial"/>
          <w:szCs w:val="24"/>
        </w:rPr>
        <w:t xml:space="preserve">A Panel, with senior officers from Adults Social Care and Finance will be established to oversee the inflationary up-lift implementation and the process will be as follows: </w:t>
      </w:r>
    </w:p>
    <w:p w14:paraId="300A5579" w14:textId="77777777" w:rsidR="003E4C35" w:rsidRDefault="003E4C35" w:rsidP="003E4C35">
      <w:pPr>
        <w:rPr>
          <w:rFonts w:cs="Arial"/>
          <w:szCs w:val="24"/>
        </w:rPr>
      </w:pPr>
    </w:p>
    <w:tbl>
      <w:tblPr>
        <w:tblStyle w:val="TableGrid"/>
        <w:tblW w:w="0" w:type="auto"/>
        <w:tblInd w:w="709" w:type="dxa"/>
        <w:tblLook w:val="04A0" w:firstRow="1" w:lastRow="0" w:firstColumn="1" w:lastColumn="0" w:noHBand="0" w:noVBand="1"/>
      </w:tblPr>
      <w:tblGrid>
        <w:gridCol w:w="4891"/>
        <w:gridCol w:w="2699"/>
      </w:tblGrid>
      <w:tr w:rsidR="003E4C35" w:rsidRPr="007630ED" w14:paraId="3FE82F02" w14:textId="77777777" w:rsidTr="003E4C35">
        <w:tc>
          <w:tcPr>
            <w:tcW w:w="4891" w:type="dxa"/>
          </w:tcPr>
          <w:p w14:paraId="7541058A" w14:textId="77777777" w:rsidR="003E4C35" w:rsidRPr="007630ED" w:rsidRDefault="003E4C35" w:rsidP="002340DE">
            <w:pPr>
              <w:jc w:val="center"/>
              <w:rPr>
                <w:rFonts w:cs="Arial"/>
                <w:b/>
                <w:bCs/>
                <w:szCs w:val="24"/>
              </w:rPr>
            </w:pPr>
            <w:r w:rsidRPr="007630ED">
              <w:rPr>
                <w:rFonts w:cs="Arial"/>
                <w:b/>
                <w:bCs/>
                <w:szCs w:val="24"/>
              </w:rPr>
              <w:t>Activity</w:t>
            </w:r>
          </w:p>
        </w:tc>
        <w:tc>
          <w:tcPr>
            <w:tcW w:w="2699" w:type="dxa"/>
          </w:tcPr>
          <w:p w14:paraId="5A7E71FF" w14:textId="77777777" w:rsidR="003E4C35" w:rsidRPr="007630ED" w:rsidRDefault="003E4C35" w:rsidP="002340DE">
            <w:pPr>
              <w:jc w:val="center"/>
              <w:rPr>
                <w:rFonts w:cs="Arial"/>
                <w:b/>
                <w:bCs/>
                <w:szCs w:val="24"/>
              </w:rPr>
            </w:pPr>
            <w:r w:rsidRPr="007630ED">
              <w:rPr>
                <w:rFonts w:cs="Arial"/>
                <w:b/>
                <w:bCs/>
                <w:szCs w:val="24"/>
              </w:rPr>
              <w:t>Date</w:t>
            </w:r>
          </w:p>
        </w:tc>
      </w:tr>
      <w:tr w:rsidR="003E4C35" w:rsidRPr="007630ED" w14:paraId="0ACD8D2D" w14:textId="77777777" w:rsidTr="003E4C35">
        <w:tc>
          <w:tcPr>
            <w:tcW w:w="4891" w:type="dxa"/>
            <w:shd w:val="clear" w:color="auto" w:fill="FFFFFF" w:themeFill="background1"/>
          </w:tcPr>
          <w:p w14:paraId="1BF551A6" w14:textId="77777777" w:rsidR="003E4C35" w:rsidRDefault="003E4C35" w:rsidP="002340DE">
            <w:pPr>
              <w:rPr>
                <w:rFonts w:cs="Arial"/>
                <w:szCs w:val="24"/>
              </w:rPr>
            </w:pPr>
            <w:r>
              <w:rPr>
                <w:rFonts w:cs="Arial"/>
                <w:szCs w:val="24"/>
              </w:rPr>
              <w:t xml:space="preserve">Report to Cabinet </w:t>
            </w:r>
          </w:p>
        </w:tc>
        <w:tc>
          <w:tcPr>
            <w:tcW w:w="2699" w:type="dxa"/>
            <w:shd w:val="clear" w:color="auto" w:fill="FFFFFF" w:themeFill="background1"/>
          </w:tcPr>
          <w:p w14:paraId="2D49FF22" w14:textId="77777777" w:rsidR="003E4C35" w:rsidRDefault="003E4C35" w:rsidP="002340DE">
            <w:pPr>
              <w:rPr>
                <w:rFonts w:cs="Arial"/>
                <w:szCs w:val="24"/>
              </w:rPr>
            </w:pPr>
            <w:r>
              <w:rPr>
                <w:rFonts w:cs="Arial"/>
                <w:szCs w:val="24"/>
              </w:rPr>
              <w:t>Thursday 29 June</w:t>
            </w:r>
          </w:p>
        </w:tc>
      </w:tr>
      <w:tr w:rsidR="003E4C35" w:rsidRPr="007630ED" w14:paraId="45849B0C" w14:textId="77777777" w:rsidTr="003E4C35">
        <w:tc>
          <w:tcPr>
            <w:tcW w:w="7590" w:type="dxa"/>
            <w:gridSpan w:val="2"/>
          </w:tcPr>
          <w:p w14:paraId="0AADB850" w14:textId="77777777" w:rsidR="003E4C35" w:rsidDel="00CF2F26" w:rsidRDefault="003E4C35" w:rsidP="002340DE">
            <w:pPr>
              <w:rPr>
                <w:rFonts w:cs="Arial"/>
                <w:szCs w:val="24"/>
              </w:rPr>
            </w:pPr>
            <w:r w:rsidRPr="00BF5B8D">
              <w:rPr>
                <w:rFonts w:cs="Arial"/>
                <w:b/>
                <w:bCs/>
                <w:szCs w:val="24"/>
              </w:rPr>
              <w:t xml:space="preserve">Home Care </w:t>
            </w:r>
            <w:r>
              <w:rPr>
                <w:rFonts w:cs="Arial"/>
                <w:b/>
                <w:bCs/>
                <w:szCs w:val="24"/>
              </w:rPr>
              <w:t>and Enablement Providers and Shared Lives</w:t>
            </w:r>
          </w:p>
        </w:tc>
      </w:tr>
      <w:tr w:rsidR="003E4C35" w:rsidRPr="007630ED" w14:paraId="6CCF1860" w14:textId="77777777" w:rsidTr="003E4C35">
        <w:tc>
          <w:tcPr>
            <w:tcW w:w="4891" w:type="dxa"/>
          </w:tcPr>
          <w:p w14:paraId="0B3CE7DD" w14:textId="77777777" w:rsidR="003E4C35" w:rsidRPr="007630ED" w:rsidRDefault="003E4C35" w:rsidP="002340DE">
            <w:pPr>
              <w:rPr>
                <w:rFonts w:cs="Arial"/>
                <w:szCs w:val="24"/>
              </w:rPr>
            </w:pPr>
            <w:r w:rsidRPr="007630ED">
              <w:rPr>
                <w:rFonts w:cs="Arial"/>
                <w:szCs w:val="24"/>
              </w:rPr>
              <w:t xml:space="preserve">Letters sent to </w:t>
            </w:r>
            <w:r>
              <w:rPr>
                <w:rFonts w:cs="Arial"/>
                <w:szCs w:val="24"/>
              </w:rPr>
              <w:t xml:space="preserve">Home Care, Enablement and Shared Lives </w:t>
            </w:r>
            <w:r w:rsidRPr="007630ED">
              <w:rPr>
                <w:rFonts w:cs="Arial"/>
                <w:szCs w:val="24"/>
              </w:rPr>
              <w:t>providers detailing the approach</w:t>
            </w:r>
            <w:r>
              <w:rPr>
                <w:rFonts w:cs="Arial"/>
                <w:szCs w:val="24"/>
              </w:rPr>
              <w:t xml:space="preserve">. </w:t>
            </w:r>
          </w:p>
        </w:tc>
        <w:tc>
          <w:tcPr>
            <w:tcW w:w="2699" w:type="dxa"/>
          </w:tcPr>
          <w:p w14:paraId="3A97CE38" w14:textId="77777777" w:rsidR="003E4C35" w:rsidRPr="007630ED" w:rsidRDefault="003E4C35" w:rsidP="002340DE">
            <w:pPr>
              <w:rPr>
                <w:rFonts w:cs="Arial"/>
                <w:szCs w:val="24"/>
              </w:rPr>
            </w:pPr>
            <w:r>
              <w:rPr>
                <w:rFonts w:cs="Arial"/>
                <w:szCs w:val="24"/>
              </w:rPr>
              <w:t xml:space="preserve">From Friday 7 July </w:t>
            </w:r>
          </w:p>
        </w:tc>
      </w:tr>
      <w:tr w:rsidR="003E4C35" w:rsidRPr="007630ED" w14:paraId="4D71A39D" w14:textId="77777777" w:rsidTr="003E4C35">
        <w:tc>
          <w:tcPr>
            <w:tcW w:w="4891" w:type="dxa"/>
          </w:tcPr>
          <w:p w14:paraId="5FE71981" w14:textId="77777777" w:rsidR="003E4C35" w:rsidRPr="007630ED" w:rsidRDefault="003E4C35" w:rsidP="002340DE">
            <w:pPr>
              <w:rPr>
                <w:rFonts w:cs="Arial"/>
                <w:szCs w:val="24"/>
              </w:rPr>
            </w:pPr>
            <w:r w:rsidRPr="007630ED">
              <w:rPr>
                <w:rFonts w:cs="Arial"/>
                <w:szCs w:val="24"/>
              </w:rPr>
              <w:t xml:space="preserve">Inflationary up-lift applied backdated to </w:t>
            </w:r>
            <w:r>
              <w:rPr>
                <w:rFonts w:cs="Arial"/>
                <w:szCs w:val="24"/>
              </w:rPr>
              <w:t xml:space="preserve">first Monday in </w:t>
            </w:r>
            <w:r w:rsidRPr="007630ED">
              <w:rPr>
                <w:rFonts w:cs="Arial"/>
                <w:szCs w:val="24"/>
              </w:rPr>
              <w:t>April 2023</w:t>
            </w:r>
          </w:p>
        </w:tc>
        <w:tc>
          <w:tcPr>
            <w:tcW w:w="2699" w:type="dxa"/>
          </w:tcPr>
          <w:p w14:paraId="3FCA42CE" w14:textId="77777777" w:rsidR="003E4C35" w:rsidRPr="007630ED" w:rsidRDefault="003E4C35" w:rsidP="002340DE">
            <w:pPr>
              <w:rPr>
                <w:rFonts w:cs="Arial"/>
                <w:szCs w:val="24"/>
              </w:rPr>
            </w:pPr>
            <w:r>
              <w:rPr>
                <w:rFonts w:cs="Arial"/>
                <w:szCs w:val="24"/>
              </w:rPr>
              <w:t>Payment to be received from August onwards</w:t>
            </w:r>
          </w:p>
        </w:tc>
      </w:tr>
      <w:tr w:rsidR="003E4C35" w:rsidRPr="005E100A" w14:paraId="2FCD6BAF" w14:textId="77777777" w:rsidTr="003E4C35">
        <w:tc>
          <w:tcPr>
            <w:tcW w:w="7590" w:type="dxa"/>
            <w:gridSpan w:val="2"/>
          </w:tcPr>
          <w:p w14:paraId="1B9EA284" w14:textId="77777777" w:rsidR="003E4C35" w:rsidRPr="00BF5B8D" w:rsidRDefault="003E4C35" w:rsidP="002340DE">
            <w:pPr>
              <w:rPr>
                <w:rFonts w:cs="Arial"/>
                <w:b/>
                <w:bCs/>
                <w:szCs w:val="24"/>
              </w:rPr>
            </w:pPr>
            <w:r w:rsidRPr="00BF5B8D">
              <w:rPr>
                <w:rFonts w:cs="Arial"/>
                <w:b/>
                <w:bCs/>
                <w:szCs w:val="24"/>
              </w:rPr>
              <w:t>Bedded Care Older People and P</w:t>
            </w:r>
            <w:r>
              <w:rPr>
                <w:rFonts w:cs="Arial"/>
                <w:b/>
                <w:bCs/>
                <w:szCs w:val="24"/>
              </w:rPr>
              <w:t xml:space="preserve">hysical </w:t>
            </w:r>
            <w:r w:rsidRPr="00BF5B8D">
              <w:rPr>
                <w:rFonts w:cs="Arial"/>
                <w:b/>
                <w:bCs/>
                <w:szCs w:val="24"/>
              </w:rPr>
              <w:t>D</w:t>
            </w:r>
            <w:r>
              <w:rPr>
                <w:rFonts w:cs="Arial"/>
                <w:b/>
                <w:bCs/>
                <w:szCs w:val="24"/>
              </w:rPr>
              <w:t>isabilities</w:t>
            </w:r>
          </w:p>
        </w:tc>
      </w:tr>
      <w:tr w:rsidR="003E4C35" w:rsidRPr="007630ED" w14:paraId="1520E31F" w14:textId="77777777" w:rsidTr="003E4C35">
        <w:tc>
          <w:tcPr>
            <w:tcW w:w="4891" w:type="dxa"/>
          </w:tcPr>
          <w:p w14:paraId="76A8E838" w14:textId="77777777" w:rsidR="003E4C35" w:rsidRPr="007630ED" w:rsidRDefault="003E4C35" w:rsidP="002340DE">
            <w:pPr>
              <w:rPr>
                <w:rFonts w:cs="Arial"/>
                <w:szCs w:val="24"/>
              </w:rPr>
            </w:pPr>
            <w:r w:rsidRPr="007630ED">
              <w:rPr>
                <w:rFonts w:cs="Arial"/>
                <w:szCs w:val="24"/>
              </w:rPr>
              <w:t xml:space="preserve">Letters sent to </w:t>
            </w:r>
            <w:r>
              <w:rPr>
                <w:rFonts w:cs="Arial"/>
                <w:szCs w:val="24"/>
              </w:rPr>
              <w:t xml:space="preserve">Bedded Care </w:t>
            </w:r>
            <w:r w:rsidRPr="007630ED">
              <w:rPr>
                <w:rFonts w:cs="Arial"/>
                <w:szCs w:val="24"/>
              </w:rPr>
              <w:t>providers detailing the approach</w:t>
            </w:r>
            <w:r>
              <w:rPr>
                <w:rFonts w:cs="Arial"/>
                <w:szCs w:val="24"/>
              </w:rPr>
              <w:t xml:space="preserve">. </w:t>
            </w:r>
          </w:p>
        </w:tc>
        <w:tc>
          <w:tcPr>
            <w:tcW w:w="2699" w:type="dxa"/>
          </w:tcPr>
          <w:p w14:paraId="48E1AFC5" w14:textId="77777777" w:rsidR="003E4C35" w:rsidRPr="007630ED" w:rsidRDefault="003E4C35" w:rsidP="002340DE">
            <w:pPr>
              <w:rPr>
                <w:rFonts w:cs="Arial"/>
                <w:szCs w:val="24"/>
              </w:rPr>
            </w:pPr>
            <w:r>
              <w:rPr>
                <w:rFonts w:cs="Arial"/>
                <w:szCs w:val="24"/>
              </w:rPr>
              <w:t>From Friday 7 July</w:t>
            </w:r>
          </w:p>
        </w:tc>
      </w:tr>
      <w:tr w:rsidR="003E4C35" w:rsidRPr="007630ED" w14:paraId="081B4E45" w14:textId="77777777" w:rsidTr="003E4C35">
        <w:tc>
          <w:tcPr>
            <w:tcW w:w="4891" w:type="dxa"/>
          </w:tcPr>
          <w:p w14:paraId="29B5EBD6" w14:textId="77777777" w:rsidR="003E4C35" w:rsidRPr="007630ED" w:rsidRDefault="003E4C35" w:rsidP="002340DE">
            <w:pPr>
              <w:rPr>
                <w:rFonts w:cs="Arial"/>
                <w:szCs w:val="24"/>
              </w:rPr>
            </w:pPr>
            <w:r w:rsidRPr="007630ED">
              <w:rPr>
                <w:rFonts w:cs="Arial"/>
                <w:szCs w:val="24"/>
              </w:rPr>
              <w:t xml:space="preserve">Inflationary up-lift for </w:t>
            </w:r>
            <w:r>
              <w:rPr>
                <w:rFonts w:cs="Arial"/>
                <w:szCs w:val="24"/>
              </w:rPr>
              <w:t>bedded care providers standard packages below WLA cap applied</w:t>
            </w:r>
            <w:r w:rsidRPr="007630ED">
              <w:rPr>
                <w:rFonts w:cs="Arial"/>
                <w:szCs w:val="24"/>
              </w:rPr>
              <w:t xml:space="preserve"> backdated to </w:t>
            </w:r>
            <w:r>
              <w:rPr>
                <w:rFonts w:cs="Arial"/>
                <w:szCs w:val="24"/>
              </w:rPr>
              <w:t xml:space="preserve">first Monday in </w:t>
            </w:r>
            <w:r w:rsidRPr="007630ED">
              <w:rPr>
                <w:rFonts w:cs="Arial"/>
                <w:szCs w:val="24"/>
              </w:rPr>
              <w:t>April 2023</w:t>
            </w:r>
          </w:p>
        </w:tc>
        <w:tc>
          <w:tcPr>
            <w:tcW w:w="2699" w:type="dxa"/>
          </w:tcPr>
          <w:p w14:paraId="432546D6" w14:textId="77777777" w:rsidR="003E4C35" w:rsidRDefault="003E4C35" w:rsidP="002340DE">
            <w:pPr>
              <w:rPr>
                <w:rFonts w:cs="Arial"/>
                <w:szCs w:val="24"/>
              </w:rPr>
            </w:pPr>
            <w:r>
              <w:rPr>
                <w:rFonts w:cs="Arial"/>
                <w:szCs w:val="24"/>
              </w:rPr>
              <w:t>Payment to be received from August onwards</w:t>
            </w:r>
          </w:p>
        </w:tc>
      </w:tr>
      <w:tr w:rsidR="003E4C35" w:rsidRPr="007630ED" w14:paraId="3C7E14E5" w14:textId="77777777" w:rsidTr="003E4C35">
        <w:tc>
          <w:tcPr>
            <w:tcW w:w="4891" w:type="dxa"/>
          </w:tcPr>
          <w:p w14:paraId="1A966E55" w14:textId="77777777" w:rsidR="003E4C35" w:rsidRPr="007630ED" w:rsidRDefault="003E4C35" w:rsidP="002340DE">
            <w:pPr>
              <w:rPr>
                <w:rFonts w:cs="Arial"/>
                <w:szCs w:val="24"/>
              </w:rPr>
            </w:pPr>
            <w:r>
              <w:rPr>
                <w:rFonts w:cs="Arial"/>
                <w:szCs w:val="24"/>
              </w:rPr>
              <w:t>Letter confirming i</w:t>
            </w:r>
            <w:r w:rsidRPr="007630ED">
              <w:rPr>
                <w:rFonts w:cs="Arial"/>
                <w:szCs w:val="24"/>
              </w:rPr>
              <w:t xml:space="preserve">nflationary up-lift </w:t>
            </w:r>
          </w:p>
        </w:tc>
        <w:tc>
          <w:tcPr>
            <w:tcW w:w="2699" w:type="dxa"/>
          </w:tcPr>
          <w:p w14:paraId="18136E60" w14:textId="77777777" w:rsidR="003E4C35" w:rsidRDefault="003E4C35" w:rsidP="002340DE">
            <w:pPr>
              <w:rPr>
                <w:rFonts w:cs="Arial"/>
                <w:szCs w:val="24"/>
              </w:rPr>
            </w:pPr>
            <w:r>
              <w:rPr>
                <w:rFonts w:cs="Arial"/>
                <w:szCs w:val="24"/>
              </w:rPr>
              <w:t xml:space="preserve">End September </w:t>
            </w:r>
          </w:p>
        </w:tc>
      </w:tr>
      <w:tr w:rsidR="003E4C35" w:rsidRPr="007630ED" w14:paraId="786BD912" w14:textId="77777777" w:rsidTr="003E4C35">
        <w:tc>
          <w:tcPr>
            <w:tcW w:w="7590" w:type="dxa"/>
            <w:gridSpan w:val="2"/>
          </w:tcPr>
          <w:p w14:paraId="4BF45BA0" w14:textId="77777777" w:rsidR="003E4C35" w:rsidRDefault="003E4C35" w:rsidP="002340DE">
            <w:pPr>
              <w:rPr>
                <w:rFonts w:cs="Arial"/>
                <w:szCs w:val="24"/>
              </w:rPr>
            </w:pPr>
            <w:r w:rsidRPr="00BF5B8D">
              <w:rPr>
                <w:rFonts w:cs="Arial"/>
                <w:b/>
                <w:bCs/>
                <w:szCs w:val="24"/>
              </w:rPr>
              <w:t xml:space="preserve">LD, MH, </w:t>
            </w:r>
            <w:r>
              <w:rPr>
                <w:rFonts w:cs="Arial"/>
                <w:b/>
                <w:bCs/>
                <w:szCs w:val="24"/>
              </w:rPr>
              <w:t xml:space="preserve">CYAD, </w:t>
            </w:r>
            <w:r w:rsidRPr="00BF5B8D">
              <w:rPr>
                <w:rFonts w:cs="Arial"/>
                <w:b/>
                <w:bCs/>
                <w:szCs w:val="24"/>
              </w:rPr>
              <w:t xml:space="preserve">Community </w:t>
            </w:r>
            <w:r>
              <w:rPr>
                <w:rFonts w:cs="Arial"/>
                <w:b/>
                <w:bCs/>
                <w:szCs w:val="24"/>
              </w:rPr>
              <w:t>P</w:t>
            </w:r>
            <w:r w:rsidRPr="00BF5B8D">
              <w:rPr>
                <w:rFonts w:cs="Arial"/>
                <w:b/>
                <w:bCs/>
                <w:szCs w:val="24"/>
              </w:rPr>
              <w:t>roviders</w:t>
            </w:r>
          </w:p>
        </w:tc>
      </w:tr>
      <w:tr w:rsidR="003E4C35" w:rsidRPr="007630ED" w14:paraId="6BDB0766" w14:textId="77777777" w:rsidTr="003E4C35">
        <w:tc>
          <w:tcPr>
            <w:tcW w:w="4891" w:type="dxa"/>
          </w:tcPr>
          <w:p w14:paraId="5C738079" w14:textId="77777777" w:rsidR="003E4C35" w:rsidRPr="007630ED" w:rsidRDefault="003E4C35" w:rsidP="002340DE">
            <w:pPr>
              <w:rPr>
                <w:rFonts w:cs="Arial"/>
                <w:szCs w:val="24"/>
              </w:rPr>
            </w:pPr>
            <w:r w:rsidRPr="007630ED">
              <w:rPr>
                <w:rFonts w:cs="Arial"/>
                <w:szCs w:val="24"/>
              </w:rPr>
              <w:t>Letters sent to LD, MH, Community providers providers detailing the approach</w:t>
            </w:r>
            <w:r>
              <w:rPr>
                <w:rFonts w:cs="Arial"/>
                <w:szCs w:val="24"/>
              </w:rPr>
              <w:t xml:space="preserve">. </w:t>
            </w:r>
          </w:p>
        </w:tc>
        <w:tc>
          <w:tcPr>
            <w:tcW w:w="2699" w:type="dxa"/>
          </w:tcPr>
          <w:p w14:paraId="56148264" w14:textId="77777777" w:rsidR="003E4C35" w:rsidRPr="007630ED" w:rsidRDefault="003E4C35" w:rsidP="002340DE">
            <w:pPr>
              <w:rPr>
                <w:rFonts w:cs="Arial"/>
                <w:szCs w:val="24"/>
              </w:rPr>
            </w:pPr>
            <w:r>
              <w:rPr>
                <w:rFonts w:cs="Arial"/>
                <w:szCs w:val="24"/>
              </w:rPr>
              <w:t>From Friday 7 July</w:t>
            </w:r>
          </w:p>
        </w:tc>
      </w:tr>
      <w:tr w:rsidR="003E4C35" w:rsidRPr="007630ED" w14:paraId="6BA95C96" w14:textId="77777777" w:rsidTr="003E4C35">
        <w:tc>
          <w:tcPr>
            <w:tcW w:w="4891" w:type="dxa"/>
          </w:tcPr>
          <w:p w14:paraId="4CB7C26C" w14:textId="77777777" w:rsidR="003E4C35" w:rsidRPr="007630ED" w:rsidRDefault="003E4C35" w:rsidP="002340DE">
            <w:pPr>
              <w:rPr>
                <w:rFonts w:cs="Arial"/>
                <w:szCs w:val="24"/>
              </w:rPr>
            </w:pPr>
            <w:r>
              <w:rPr>
                <w:rFonts w:cs="Arial"/>
                <w:szCs w:val="24"/>
              </w:rPr>
              <w:t>Deadline for r</w:t>
            </w:r>
            <w:r w:rsidRPr="007630ED">
              <w:rPr>
                <w:rFonts w:cs="Arial"/>
                <w:szCs w:val="24"/>
              </w:rPr>
              <w:t xml:space="preserve">equests for uplift from LD, MH, Community providers </w:t>
            </w:r>
          </w:p>
        </w:tc>
        <w:tc>
          <w:tcPr>
            <w:tcW w:w="2699" w:type="dxa"/>
          </w:tcPr>
          <w:p w14:paraId="40AA9881" w14:textId="77777777" w:rsidR="003E4C35" w:rsidRPr="007630ED" w:rsidRDefault="003E4C35" w:rsidP="002340DE">
            <w:pPr>
              <w:rPr>
                <w:rFonts w:cs="Arial"/>
                <w:szCs w:val="24"/>
              </w:rPr>
            </w:pPr>
            <w:r>
              <w:rPr>
                <w:rFonts w:cs="Arial"/>
                <w:szCs w:val="24"/>
              </w:rPr>
              <w:t>Friday 11 August</w:t>
            </w:r>
          </w:p>
        </w:tc>
      </w:tr>
      <w:tr w:rsidR="003E4C35" w:rsidRPr="007630ED" w14:paraId="21D9719D" w14:textId="77777777" w:rsidTr="003E4C35">
        <w:tc>
          <w:tcPr>
            <w:tcW w:w="4891" w:type="dxa"/>
          </w:tcPr>
          <w:p w14:paraId="5B51CA85" w14:textId="77777777" w:rsidR="003E4C35" w:rsidRPr="007630ED" w:rsidRDefault="003E4C35" w:rsidP="002340DE">
            <w:pPr>
              <w:rPr>
                <w:rFonts w:cs="Arial"/>
                <w:szCs w:val="24"/>
              </w:rPr>
            </w:pPr>
            <w:r>
              <w:rPr>
                <w:rFonts w:cs="Arial"/>
                <w:szCs w:val="24"/>
              </w:rPr>
              <w:t xml:space="preserve">Review </w:t>
            </w:r>
            <w:r w:rsidRPr="007630ED">
              <w:rPr>
                <w:rFonts w:cs="Arial"/>
                <w:szCs w:val="24"/>
              </w:rPr>
              <w:t xml:space="preserve">Panel to consider the requests </w:t>
            </w:r>
          </w:p>
        </w:tc>
        <w:tc>
          <w:tcPr>
            <w:tcW w:w="2699" w:type="dxa"/>
          </w:tcPr>
          <w:p w14:paraId="6BD33D09" w14:textId="77777777" w:rsidR="003E4C35" w:rsidRPr="007630ED" w:rsidRDefault="003E4C35" w:rsidP="002340DE">
            <w:pPr>
              <w:rPr>
                <w:rFonts w:cs="Arial"/>
                <w:szCs w:val="24"/>
              </w:rPr>
            </w:pPr>
            <w:r>
              <w:rPr>
                <w:rFonts w:cs="Arial"/>
                <w:szCs w:val="24"/>
              </w:rPr>
              <w:t>Monday 13 August to 13 September</w:t>
            </w:r>
          </w:p>
        </w:tc>
      </w:tr>
      <w:tr w:rsidR="003E4C35" w:rsidRPr="007630ED" w14:paraId="1990A620" w14:textId="77777777" w:rsidTr="003E4C35">
        <w:tc>
          <w:tcPr>
            <w:tcW w:w="4891" w:type="dxa"/>
          </w:tcPr>
          <w:p w14:paraId="2DE86AE1" w14:textId="77777777" w:rsidR="003E4C35" w:rsidRPr="007630ED" w:rsidRDefault="003E4C35" w:rsidP="002340DE">
            <w:pPr>
              <w:rPr>
                <w:rFonts w:cs="Arial"/>
                <w:szCs w:val="24"/>
              </w:rPr>
            </w:pPr>
            <w:r>
              <w:rPr>
                <w:rFonts w:cs="Arial"/>
                <w:szCs w:val="24"/>
              </w:rPr>
              <w:lastRenderedPageBreak/>
              <w:t>Letter confirming i</w:t>
            </w:r>
            <w:r w:rsidRPr="007630ED">
              <w:rPr>
                <w:rFonts w:cs="Arial"/>
                <w:szCs w:val="24"/>
              </w:rPr>
              <w:t xml:space="preserve">nflationary up-lift for </w:t>
            </w:r>
            <w:r>
              <w:rPr>
                <w:rFonts w:cs="Arial"/>
                <w:szCs w:val="24"/>
              </w:rPr>
              <w:t xml:space="preserve">LD, </w:t>
            </w:r>
            <w:proofErr w:type="gramStart"/>
            <w:r>
              <w:rPr>
                <w:rFonts w:cs="Arial"/>
                <w:szCs w:val="24"/>
              </w:rPr>
              <w:t>MH</w:t>
            </w:r>
            <w:proofErr w:type="gramEnd"/>
            <w:r>
              <w:rPr>
                <w:rFonts w:cs="Arial"/>
                <w:szCs w:val="24"/>
              </w:rPr>
              <w:t xml:space="preserve"> and Community </w:t>
            </w:r>
            <w:r w:rsidRPr="007630ED">
              <w:rPr>
                <w:rFonts w:cs="Arial"/>
                <w:szCs w:val="24"/>
              </w:rPr>
              <w:t>providers</w:t>
            </w:r>
          </w:p>
        </w:tc>
        <w:tc>
          <w:tcPr>
            <w:tcW w:w="2699" w:type="dxa"/>
          </w:tcPr>
          <w:p w14:paraId="48590138" w14:textId="77777777" w:rsidR="003E4C35" w:rsidRPr="007630ED" w:rsidRDefault="003E4C35" w:rsidP="002340DE">
            <w:pPr>
              <w:rPr>
                <w:rFonts w:cs="Arial"/>
                <w:szCs w:val="24"/>
              </w:rPr>
            </w:pPr>
            <w:r>
              <w:rPr>
                <w:rFonts w:cs="Arial"/>
                <w:szCs w:val="24"/>
              </w:rPr>
              <w:t xml:space="preserve">End September </w:t>
            </w:r>
          </w:p>
        </w:tc>
      </w:tr>
      <w:tr w:rsidR="003E4C35" w:rsidRPr="007630ED" w14:paraId="42297BD0" w14:textId="77777777" w:rsidTr="003E4C35">
        <w:tc>
          <w:tcPr>
            <w:tcW w:w="7590" w:type="dxa"/>
            <w:gridSpan w:val="2"/>
          </w:tcPr>
          <w:p w14:paraId="5D41D8DD" w14:textId="77777777" w:rsidR="003E4C35" w:rsidRDefault="003E4C35" w:rsidP="002340DE">
            <w:pPr>
              <w:rPr>
                <w:rFonts w:cs="Arial"/>
                <w:szCs w:val="24"/>
              </w:rPr>
            </w:pPr>
            <w:r w:rsidRPr="00BF5B8D">
              <w:rPr>
                <w:rFonts w:cs="Arial"/>
                <w:b/>
                <w:bCs/>
                <w:szCs w:val="24"/>
              </w:rPr>
              <w:t>Personal Budgets and Direct Payments</w:t>
            </w:r>
          </w:p>
        </w:tc>
      </w:tr>
      <w:tr w:rsidR="003E4C35" w:rsidRPr="007630ED" w14:paraId="6D764BDB" w14:textId="77777777" w:rsidTr="003E4C35">
        <w:tc>
          <w:tcPr>
            <w:tcW w:w="4891" w:type="dxa"/>
          </w:tcPr>
          <w:p w14:paraId="4C7FB91F" w14:textId="77777777" w:rsidR="003E4C35" w:rsidRPr="007630ED" w:rsidRDefault="003E4C35" w:rsidP="002340DE">
            <w:pPr>
              <w:rPr>
                <w:rFonts w:cs="Arial"/>
                <w:szCs w:val="24"/>
              </w:rPr>
            </w:pPr>
            <w:r>
              <w:rPr>
                <w:rFonts w:cs="Arial"/>
                <w:szCs w:val="24"/>
              </w:rPr>
              <w:t>PB and DP applied if required through the annual review process</w:t>
            </w:r>
          </w:p>
        </w:tc>
        <w:tc>
          <w:tcPr>
            <w:tcW w:w="2699" w:type="dxa"/>
          </w:tcPr>
          <w:p w14:paraId="5AEDBCF1" w14:textId="77777777" w:rsidR="003E4C35" w:rsidRPr="007630ED" w:rsidRDefault="003E4C35" w:rsidP="002340DE">
            <w:pPr>
              <w:rPr>
                <w:rFonts w:cs="Arial"/>
                <w:szCs w:val="24"/>
              </w:rPr>
            </w:pPr>
            <w:r>
              <w:rPr>
                <w:rFonts w:cs="Arial"/>
                <w:szCs w:val="24"/>
              </w:rPr>
              <w:t>On-going during 2023-24</w:t>
            </w:r>
          </w:p>
        </w:tc>
      </w:tr>
      <w:tr w:rsidR="003E4C35" w:rsidRPr="007630ED" w14:paraId="06520543" w14:textId="77777777" w:rsidTr="003E4C35">
        <w:tc>
          <w:tcPr>
            <w:tcW w:w="4891" w:type="dxa"/>
          </w:tcPr>
          <w:p w14:paraId="6CC6E9CC" w14:textId="77777777" w:rsidR="003E4C35" w:rsidRDefault="003E4C35" w:rsidP="002340DE">
            <w:pPr>
              <w:rPr>
                <w:rFonts w:cs="Arial"/>
                <w:szCs w:val="24"/>
              </w:rPr>
            </w:pPr>
            <w:r>
              <w:rPr>
                <w:rFonts w:cs="Arial"/>
                <w:szCs w:val="24"/>
              </w:rPr>
              <w:t>Planning for 2024-25</w:t>
            </w:r>
          </w:p>
        </w:tc>
        <w:tc>
          <w:tcPr>
            <w:tcW w:w="2699" w:type="dxa"/>
          </w:tcPr>
          <w:p w14:paraId="26041979" w14:textId="77777777" w:rsidR="003E4C35" w:rsidDel="00ED7706" w:rsidRDefault="003E4C35" w:rsidP="002340DE">
            <w:pPr>
              <w:rPr>
                <w:rFonts w:cs="Arial"/>
                <w:szCs w:val="24"/>
              </w:rPr>
            </w:pPr>
            <w:r>
              <w:rPr>
                <w:rFonts w:cs="Arial"/>
                <w:szCs w:val="24"/>
              </w:rPr>
              <w:t>October/November</w:t>
            </w:r>
          </w:p>
        </w:tc>
      </w:tr>
    </w:tbl>
    <w:p w14:paraId="13A087B3" w14:textId="77777777" w:rsidR="003E4C35" w:rsidRDefault="003E4C35" w:rsidP="003E4C35">
      <w:pPr>
        <w:ind w:left="709"/>
        <w:rPr>
          <w:rFonts w:cs="Arial"/>
          <w:b/>
          <w:bCs/>
          <w:szCs w:val="24"/>
        </w:rPr>
      </w:pPr>
    </w:p>
    <w:p w14:paraId="7AA5D530" w14:textId="77777777" w:rsidR="00307F76" w:rsidRPr="003E4C35" w:rsidRDefault="00307F76" w:rsidP="001472A8">
      <w:pPr>
        <w:spacing w:before="240"/>
        <w:rPr>
          <w:b/>
          <w:sz w:val="28"/>
          <w:szCs w:val="28"/>
        </w:rPr>
      </w:pPr>
      <w:r w:rsidRPr="003E4C35">
        <w:rPr>
          <w:b/>
          <w:sz w:val="28"/>
          <w:szCs w:val="28"/>
        </w:rPr>
        <w:t xml:space="preserve">Ward Councillors’ comments </w:t>
      </w:r>
    </w:p>
    <w:p w14:paraId="46F07B30" w14:textId="7FB1ACAD" w:rsidR="00955421" w:rsidRDefault="00955421" w:rsidP="0054590F">
      <w:pPr>
        <w:rPr>
          <w:b/>
        </w:rPr>
      </w:pPr>
    </w:p>
    <w:p w14:paraId="5E3A5F75" w14:textId="0980DD18" w:rsidR="00BC5530" w:rsidRPr="000C6E90" w:rsidRDefault="00BC5530">
      <w:pPr>
        <w:pStyle w:val="ListParagraph"/>
        <w:numPr>
          <w:ilvl w:val="0"/>
          <w:numId w:val="16"/>
        </w:numPr>
        <w:ind w:left="567" w:hanging="567"/>
        <w:rPr>
          <w:bCs/>
        </w:rPr>
      </w:pPr>
      <w:r w:rsidRPr="000C6E90">
        <w:rPr>
          <w:bCs/>
        </w:rPr>
        <w:t>None this affects all Wards.</w:t>
      </w:r>
    </w:p>
    <w:p w14:paraId="2FAEA515" w14:textId="77777777" w:rsidR="00BC5530" w:rsidRPr="00307F76" w:rsidRDefault="00BC5530" w:rsidP="0054590F">
      <w:pPr>
        <w:rPr>
          <w:b/>
        </w:rPr>
      </w:pPr>
    </w:p>
    <w:p w14:paraId="12B2B7E2" w14:textId="77777777" w:rsidR="00333FAA" w:rsidRPr="000C6E90" w:rsidRDefault="00333FAA" w:rsidP="0054590F">
      <w:pPr>
        <w:pStyle w:val="Heading4"/>
        <w:tabs>
          <w:tab w:val="left" w:pos="3600"/>
        </w:tabs>
        <w:rPr>
          <w:sz w:val="28"/>
          <w:szCs w:val="28"/>
        </w:rPr>
      </w:pPr>
      <w:r w:rsidRPr="000C6E90">
        <w:rPr>
          <w:sz w:val="28"/>
          <w:szCs w:val="28"/>
        </w:rPr>
        <w:t>Performance Issues</w:t>
      </w:r>
    </w:p>
    <w:p w14:paraId="779F2008" w14:textId="77777777" w:rsidR="003E4C35" w:rsidRPr="000C6E90" w:rsidRDefault="003E4C35" w:rsidP="353475EB"/>
    <w:p w14:paraId="38461626" w14:textId="77777777" w:rsidR="0062741A" w:rsidRDefault="0062741A" w:rsidP="0062741A">
      <w:pPr>
        <w:pStyle w:val="ListParagraph"/>
        <w:numPr>
          <w:ilvl w:val="0"/>
          <w:numId w:val="16"/>
        </w:numPr>
        <w:ind w:left="567" w:hanging="567"/>
      </w:pPr>
      <w:r>
        <w:t xml:space="preserve">The Department of Health and Social Care (DHSC) begins monitoring the CQC-assessed quality of Harrow-commissioned home care and residential care from July 2023.  There will be a national indicator developed as part of this process. </w:t>
      </w:r>
    </w:p>
    <w:p w14:paraId="73CC76C2" w14:textId="77777777" w:rsidR="0062741A" w:rsidRDefault="0062741A" w:rsidP="0062741A">
      <w:pPr>
        <w:pStyle w:val="ListParagraph"/>
        <w:ind w:left="567"/>
      </w:pPr>
    </w:p>
    <w:p w14:paraId="05F4F135" w14:textId="14D349C0" w:rsidR="0062741A" w:rsidRDefault="0062741A" w:rsidP="0062741A">
      <w:pPr>
        <w:pStyle w:val="ListParagraph"/>
        <w:numPr>
          <w:ilvl w:val="0"/>
          <w:numId w:val="16"/>
        </w:numPr>
        <w:ind w:left="567" w:hanging="567"/>
      </w:pPr>
      <w:r>
        <w:t xml:space="preserve">Local monitoring already captures the quality of the local market (those providers with an HA postcode as a proxy for a Harrow location) and the quality of care commissioned </w:t>
      </w:r>
      <w:r w:rsidR="008D3E6E">
        <w:t xml:space="preserve">by Harrow </w:t>
      </w:r>
      <w:r>
        <w:t xml:space="preserve">from </w:t>
      </w:r>
      <w:r w:rsidR="008D3E6E">
        <w:t xml:space="preserve">a </w:t>
      </w:r>
      <w:r>
        <w:t xml:space="preserve">provider in any location.  The aim is to match the local market standards in the choices of care homes and home care agencies commissioned.  There is an element of choice for residents and in exercising their choice may decide to select or continue with a poorly rated agency or home, in the understanding of the risks of their choice.  </w:t>
      </w:r>
    </w:p>
    <w:p w14:paraId="20D63421" w14:textId="77777777" w:rsidR="0062741A" w:rsidRDefault="0062741A" w:rsidP="0062741A">
      <w:pPr>
        <w:pStyle w:val="ListParagraph"/>
        <w:ind w:left="567"/>
      </w:pPr>
    </w:p>
    <w:p w14:paraId="549AA077" w14:textId="77777777" w:rsidR="0062741A" w:rsidRDefault="0062741A" w:rsidP="0062741A">
      <w:pPr>
        <w:pStyle w:val="ListParagraph"/>
        <w:numPr>
          <w:ilvl w:val="0"/>
          <w:numId w:val="16"/>
        </w:numPr>
        <w:ind w:left="567" w:hanging="567"/>
      </w:pPr>
      <w:r>
        <w:t xml:space="preserve">Data for May 2023 suggests the local market ratings are improving as CQC’s assessment activity has increased since Covid restrictions and delays to inspections eased. </w:t>
      </w:r>
    </w:p>
    <w:p w14:paraId="4B0AE433" w14:textId="77777777" w:rsidR="0062741A" w:rsidRDefault="0062741A" w:rsidP="0062741A"/>
    <w:p w14:paraId="7BE152BD" w14:textId="2A9B077E" w:rsidR="0062741A" w:rsidRDefault="0062741A" w:rsidP="0062741A">
      <w:pPr>
        <w:pStyle w:val="ListParagraph"/>
        <w:numPr>
          <w:ilvl w:val="0"/>
          <w:numId w:val="16"/>
        </w:numPr>
        <w:ind w:left="567" w:hanging="567"/>
      </w:pPr>
      <w:r>
        <w:t xml:space="preserve">Currently </w:t>
      </w:r>
      <w:r w:rsidR="008D3E6E">
        <w:t xml:space="preserve">15% </w:t>
      </w:r>
      <w:r>
        <w:t>% of care homes located in Harrow are rated “requiring improvement” or “inadequate</w:t>
      </w:r>
      <w:r w:rsidR="00343FB0">
        <w:t>”.</w:t>
      </w:r>
      <w:r>
        <w:t xml:space="preserve">  Of the care homes commissioned by Adults Social Care, 9.</w:t>
      </w:r>
      <w:r w:rsidR="008D3E6E">
        <w:t>6</w:t>
      </w:r>
      <w:r>
        <w:t xml:space="preserve">% fall into these categories. </w:t>
      </w:r>
    </w:p>
    <w:p w14:paraId="09DA948E" w14:textId="303BD419" w:rsidR="00B05CE4" w:rsidRDefault="00B05CE4" w:rsidP="008D3E6E">
      <w:pPr>
        <w:pStyle w:val="ListParagraph"/>
        <w:rPr>
          <w:rFonts w:ascii="Calibri" w:hAnsi="Calibri"/>
          <w:sz w:val="22"/>
        </w:rPr>
      </w:pPr>
    </w:p>
    <w:p w14:paraId="7B7A0446" w14:textId="67BBBE1A" w:rsidR="008D3E6E" w:rsidRDefault="008D3E6E" w:rsidP="008D3E6E">
      <w:pPr>
        <w:pStyle w:val="ListParagraph"/>
        <w:numPr>
          <w:ilvl w:val="0"/>
          <w:numId w:val="16"/>
        </w:numPr>
        <w:ind w:left="567" w:hanging="567"/>
      </w:pPr>
      <w:r>
        <w:t xml:space="preserve">For home care agencies, located in Harrow, 15.9% require improvement or inadequate. The commissioned packages of care by Harrow, including providers both in Harrow and located in other Boroughs, 18% of packages are bought from agencies rated RI or Inadequate. </w:t>
      </w:r>
    </w:p>
    <w:p w14:paraId="411D7AAD" w14:textId="77777777" w:rsidR="008D3E6E" w:rsidRDefault="008D3E6E" w:rsidP="00006F64">
      <w:pPr>
        <w:pStyle w:val="ListParagraph"/>
      </w:pPr>
    </w:p>
    <w:p w14:paraId="2878E608" w14:textId="43A84BB1" w:rsidR="008D3E6E" w:rsidRDefault="008D3E6E" w:rsidP="008D3E6E">
      <w:pPr>
        <w:pStyle w:val="ListParagraph"/>
        <w:numPr>
          <w:ilvl w:val="0"/>
          <w:numId w:val="16"/>
        </w:numPr>
        <w:ind w:left="567" w:hanging="567"/>
      </w:pPr>
      <w:r>
        <w:t xml:space="preserve">The table below presents the data for all </w:t>
      </w:r>
      <w:r w:rsidR="00A0308E">
        <w:t>categories</w:t>
      </w:r>
      <w:r>
        <w:t>.</w:t>
      </w:r>
    </w:p>
    <w:p w14:paraId="02449A4D" w14:textId="77777777" w:rsidR="008D3E6E" w:rsidRPr="00A0308E" w:rsidRDefault="008D3E6E" w:rsidP="00006F64">
      <w:pPr>
        <w:pStyle w:val="ListParagraph"/>
        <w:rPr>
          <w:rFonts w:cs="Arial"/>
          <w:szCs w:val="24"/>
        </w:rPr>
      </w:pPr>
    </w:p>
    <w:tbl>
      <w:tblPr>
        <w:tblW w:w="9204" w:type="dxa"/>
        <w:tblLayout w:type="fixed"/>
        <w:tblCellMar>
          <w:left w:w="0" w:type="dxa"/>
          <w:right w:w="0" w:type="dxa"/>
        </w:tblCellMar>
        <w:tblLook w:val="04A0" w:firstRow="1" w:lastRow="0" w:firstColumn="1" w:lastColumn="0" w:noHBand="0" w:noVBand="1"/>
      </w:tblPr>
      <w:tblGrid>
        <w:gridCol w:w="1975"/>
        <w:gridCol w:w="1134"/>
        <w:gridCol w:w="1701"/>
        <w:gridCol w:w="1134"/>
        <w:gridCol w:w="1701"/>
        <w:gridCol w:w="1559"/>
      </w:tblGrid>
      <w:tr w:rsidR="008D3E6E" w14:paraId="0C6C7370" w14:textId="77777777" w:rsidTr="00006F64">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81C056" w14:textId="77777777" w:rsidR="00B05CE4" w:rsidRDefault="00B05CE4"/>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BC784A" w14:textId="75CF8F4B" w:rsidR="00B05CE4" w:rsidRDefault="00B05CE4" w:rsidP="00006F64">
            <w:pPr>
              <w:jc w:val="center"/>
            </w:pPr>
            <w:r>
              <w:t>Provider Rating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5F6894" w14:textId="77777777" w:rsidR="00B05CE4" w:rsidRDefault="00B05CE4" w:rsidP="008D3E6E">
            <w:pPr>
              <w:jc w:val="center"/>
            </w:pPr>
            <w:r>
              <w:t>Outstanding</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3BCA5C" w14:textId="77777777" w:rsidR="00B05CE4" w:rsidRDefault="00B05CE4" w:rsidP="008D3E6E">
            <w:pPr>
              <w:jc w:val="center"/>
            </w:pPr>
            <w:r>
              <w:t>Good</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CF0809" w14:textId="77777777" w:rsidR="00B05CE4" w:rsidRDefault="00B05CE4" w:rsidP="008D3E6E">
            <w:pPr>
              <w:jc w:val="center"/>
            </w:pPr>
            <w:r>
              <w:t>Requiring Improvement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740839" w14:textId="77777777" w:rsidR="00B05CE4" w:rsidRDefault="00B05CE4" w:rsidP="008D3E6E">
            <w:pPr>
              <w:jc w:val="center"/>
            </w:pPr>
            <w:r>
              <w:t>Inadequate</w:t>
            </w:r>
          </w:p>
        </w:tc>
      </w:tr>
      <w:tr w:rsidR="008D3E6E" w14:paraId="2C858C2F" w14:textId="77777777" w:rsidTr="00006F64">
        <w:tc>
          <w:tcPr>
            <w:tcW w:w="19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54569" w14:textId="77777777" w:rsidR="00B05CE4" w:rsidRDefault="00B05CE4">
            <w:r>
              <w:t>Harrow postcode-based providers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494B00C" w14:textId="77777777" w:rsidR="00B05CE4" w:rsidRDefault="00B05CE4">
            <w:r>
              <w:t>Care Homes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732B393" w14:textId="77777777" w:rsidR="00B05CE4" w:rsidRDefault="00B05CE4">
            <w:pPr>
              <w:jc w:val="center"/>
            </w:pPr>
            <w:r>
              <w:t>3 (2.8%)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F1FC194" w14:textId="77777777" w:rsidR="00B05CE4" w:rsidRDefault="00B05CE4">
            <w:pPr>
              <w:jc w:val="center"/>
            </w:pPr>
            <w:r>
              <w:t>88 (82.2%)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05226ED" w14:textId="77777777" w:rsidR="00B05CE4" w:rsidRDefault="00B05CE4">
            <w:pPr>
              <w:jc w:val="center"/>
            </w:pPr>
            <w:r>
              <w:t>14 (13.1%)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AAC3BF9" w14:textId="77777777" w:rsidR="00B05CE4" w:rsidRDefault="00B05CE4">
            <w:pPr>
              <w:jc w:val="center"/>
            </w:pPr>
            <w:r>
              <w:t>2 (1.9%)</w:t>
            </w:r>
          </w:p>
        </w:tc>
      </w:tr>
      <w:tr w:rsidR="008D3E6E" w14:paraId="46670F25" w14:textId="77777777" w:rsidTr="00006F64">
        <w:tc>
          <w:tcPr>
            <w:tcW w:w="1975" w:type="dxa"/>
            <w:vMerge/>
            <w:tcBorders>
              <w:top w:val="nil"/>
              <w:left w:val="single" w:sz="8" w:space="0" w:color="auto"/>
              <w:bottom w:val="single" w:sz="8" w:space="0" w:color="auto"/>
              <w:right w:val="single" w:sz="8" w:space="0" w:color="auto"/>
            </w:tcBorders>
            <w:vAlign w:val="center"/>
            <w:hideMark/>
          </w:tcPr>
          <w:p w14:paraId="1A5FC0EA" w14:textId="77777777" w:rsidR="00B05CE4" w:rsidRDefault="00B05CE4">
            <w:pPr>
              <w:rPr>
                <w:rFonts w:ascii="Calibri" w:eastAsiaTheme="minorHAnsi" w:hAnsi="Calibri" w:cs="Calibr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678A2AD" w14:textId="0AD46178" w:rsidR="00B05CE4" w:rsidRDefault="008D3E6E">
            <w:r>
              <w:t xml:space="preserve">Home </w:t>
            </w:r>
            <w:r w:rsidR="00B05CE4">
              <w:t>Care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D05C69A" w14:textId="77777777" w:rsidR="00B05CE4" w:rsidRDefault="00B05CE4">
            <w:pPr>
              <w:jc w:val="center"/>
            </w:pPr>
            <w:r>
              <w:t>0 (0.0%)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1A0D02C" w14:textId="77777777" w:rsidR="00B05CE4" w:rsidRDefault="00B05CE4">
            <w:pPr>
              <w:jc w:val="center"/>
            </w:pPr>
            <w:r>
              <w:t>90 (84.1%)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15EF3BD" w14:textId="77777777" w:rsidR="00B05CE4" w:rsidRDefault="00B05CE4">
            <w:pPr>
              <w:jc w:val="center"/>
            </w:pPr>
            <w:r>
              <w:t>16 (15.0%)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2B965A4" w14:textId="77777777" w:rsidR="00B05CE4" w:rsidRDefault="00B05CE4">
            <w:pPr>
              <w:jc w:val="center"/>
            </w:pPr>
            <w:r>
              <w:t>1 (0.9%)</w:t>
            </w:r>
          </w:p>
        </w:tc>
      </w:tr>
      <w:tr w:rsidR="008D3E6E" w14:paraId="2DAC027A" w14:textId="77777777" w:rsidTr="00006F64">
        <w:tc>
          <w:tcPr>
            <w:tcW w:w="19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33699" w14:textId="1F062002" w:rsidR="00B05CE4" w:rsidRDefault="008D3E6E">
            <w:r>
              <w:t>Packages commissioned by Harrow</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6628797" w14:textId="77777777" w:rsidR="00B05CE4" w:rsidRDefault="00B05CE4">
            <w:r>
              <w:t>Care Homes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CF87701" w14:textId="77777777" w:rsidR="00B05CE4" w:rsidRDefault="00B05CE4">
            <w:pPr>
              <w:jc w:val="center"/>
            </w:pPr>
            <w:r>
              <w:t>35 (5.9%)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2FA68AF" w14:textId="77777777" w:rsidR="00B05CE4" w:rsidRDefault="00B05CE4">
            <w:pPr>
              <w:jc w:val="center"/>
            </w:pPr>
            <w:r>
              <w:t>501 (84.4%)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B8EDD36" w14:textId="77777777" w:rsidR="00B05CE4" w:rsidRDefault="00B05CE4">
            <w:pPr>
              <w:jc w:val="center"/>
            </w:pPr>
            <w:r>
              <w:t>57 (9.6%)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2C94013" w14:textId="77777777" w:rsidR="00B05CE4" w:rsidRDefault="00B05CE4">
            <w:pPr>
              <w:jc w:val="center"/>
            </w:pPr>
            <w:r>
              <w:t>0 (0.0%)</w:t>
            </w:r>
          </w:p>
        </w:tc>
      </w:tr>
      <w:tr w:rsidR="008D3E6E" w14:paraId="5B36A6C3" w14:textId="77777777" w:rsidTr="00006F64">
        <w:tc>
          <w:tcPr>
            <w:tcW w:w="1975" w:type="dxa"/>
            <w:vMerge/>
            <w:tcBorders>
              <w:top w:val="nil"/>
              <w:left w:val="single" w:sz="8" w:space="0" w:color="auto"/>
              <w:bottom w:val="single" w:sz="8" w:space="0" w:color="auto"/>
              <w:right w:val="single" w:sz="8" w:space="0" w:color="auto"/>
            </w:tcBorders>
            <w:vAlign w:val="center"/>
            <w:hideMark/>
          </w:tcPr>
          <w:p w14:paraId="3AE7D99D" w14:textId="77777777" w:rsidR="00B05CE4" w:rsidRDefault="00B05CE4">
            <w:pPr>
              <w:rPr>
                <w:rFonts w:ascii="Calibri" w:eastAsiaTheme="minorHAnsi" w:hAnsi="Calibri" w:cs="Calibr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B9426F6" w14:textId="02733EEF" w:rsidR="00B05CE4" w:rsidRDefault="008D3E6E">
            <w:r>
              <w:t xml:space="preserve">Home </w:t>
            </w:r>
            <w:r w:rsidR="00B05CE4">
              <w:t>Care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DA79DC9" w14:textId="77777777" w:rsidR="00B05CE4" w:rsidRDefault="00B05CE4">
            <w:pPr>
              <w:jc w:val="center"/>
            </w:pPr>
            <w:r>
              <w:t>0 (0.0%)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25CE996" w14:textId="77777777" w:rsidR="00B05CE4" w:rsidRDefault="00B05CE4">
            <w:pPr>
              <w:jc w:val="center"/>
            </w:pPr>
            <w:r>
              <w:t>1002 (81.9%)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179D080" w14:textId="77777777" w:rsidR="00B05CE4" w:rsidRDefault="00B05CE4">
            <w:pPr>
              <w:jc w:val="center"/>
            </w:pPr>
            <w:r>
              <w:t>222 (18.1%)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9406A09" w14:textId="77777777" w:rsidR="00B05CE4" w:rsidRDefault="00B05CE4">
            <w:pPr>
              <w:jc w:val="center"/>
            </w:pPr>
            <w:r>
              <w:t>0 (0.0%)</w:t>
            </w:r>
          </w:p>
        </w:tc>
      </w:tr>
    </w:tbl>
    <w:p w14:paraId="0E30112D" w14:textId="77777777" w:rsidR="0062741A" w:rsidRDefault="0062741A" w:rsidP="0062741A">
      <w:pPr>
        <w:pStyle w:val="ListParagraph"/>
      </w:pPr>
    </w:p>
    <w:p w14:paraId="25E7B853" w14:textId="77777777" w:rsidR="0062741A" w:rsidRDefault="0062741A" w:rsidP="0062741A"/>
    <w:p w14:paraId="4596FE2D" w14:textId="77777777" w:rsidR="0062741A" w:rsidRPr="000C6E90" w:rsidRDefault="0062741A" w:rsidP="0062741A">
      <w:pPr>
        <w:pStyle w:val="ListParagraph"/>
        <w:numPr>
          <w:ilvl w:val="0"/>
          <w:numId w:val="16"/>
        </w:numPr>
        <w:ind w:left="567" w:hanging="567"/>
      </w:pPr>
      <w:r>
        <w:t xml:space="preserve">The rate increases proposed will therefore need to ensure that Harrow will be able to sustainably purchase enough care and support from the better-rated agencies and care homes </w:t>
      </w:r>
      <w:proofErr w:type="gramStart"/>
      <w:r>
        <w:t>in order to</w:t>
      </w:r>
      <w:proofErr w:type="gramEnd"/>
      <w:r>
        <w:t xml:space="preserve"> get closer to the local market averages.  Performance targets have been set to achieve market-level or better performance by March 2024.</w:t>
      </w:r>
    </w:p>
    <w:p w14:paraId="6D9331BB" w14:textId="7F132B68" w:rsidR="000929A6" w:rsidRPr="000C6E90" w:rsidRDefault="000929A6" w:rsidP="000929A6"/>
    <w:p w14:paraId="482D5093" w14:textId="3548766C" w:rsidR="00333FAA" w:rsidRPr="000C6E90" w:rsidRDefault="00333FAA" w:rsidP="0054590F">
      <w:pPr>
        <w:pStyle w:val="Heading4"/>
        <w:rPr>
          <w:sz w:val="28"/>
          <w:szCs w:val="28"/>
        </w:rPr>
      </w:pPr>
      <w:r w:rsidRPr="000C6E90">
        <w:rPr>
          <w:sz w:val="28"/>
          <w:szCs w:val="28"/>
        </w:rPr>
        <w:t>Environmental Implications</w:t>
      </w:r>
    </w:p>
    <w:p w14:paraId="4FA6BE93" w14:textId="77777777" w:rsidR="003E4C35" w:rsidRPr="000C6E90" w:rsidRDefault="003E4C35" w:rsidP="00330832">
      <w:pPr>
        <w:pStyle w:val="paragraph"/>
        <w:spacing w:before="0" w:beforeAutospacing="0" w:after="0" w:afterAutospacing="0"/>
        <w:textAlignment w:val="baseline"/>
        <w:rPr>
          <w:rFonts w:ascii="Arial" w:hAnsi="Arial" w:cs="Arial"/>
        </w:rPr>
      </w:pPr>
    </w:p>
    <w:p w14:paraId="29BC4FFE" w14:textId="2E9CC7B9" w:rsidR="00330832" w:rsidRPr="000C6E90" w:rsidRDefault="00BC5530">
      <w:pPr>
        <w:pStyle w:val="paragraph"/>
        <w:numPr>
          <w:ilvl w:val="0"/>
          <w:numId w:val="16"/>
        </w:numPr>
        <w:spacing w:before="0" w:beforeAutospacing="0" w:after="0" w:afterAutospacing="0"/>
        <w:ind w:left="567" w:hanging="567"/>
        <w:textAlignment w:val="baseline"/>
        <w:rPr>
          <w:rFonts w:ascii="Arial" w:hAnsi="Arial" w:cs="Arial"/>
        </w:rPr>
      </w:pPr>
      <w:r w:rsidRPr="000C6E90">
        <w:rPr>
          <w:rFonts w:ascii="Arial" w:hAnsi="Arial" w:cs="Arial"/>
        </w:rPr>
        <w:t xml:space="preserve">There are no environmental implications to this report. </w:t>
      </w:r>
    </w:p>
    <w:p w14:paraId="725E999E" w14:textId="5CB1BD69" w:rsidR="000929A6" w:rsidRPr="000C6E90" w:rsidRDefault="000929A6" w:rsidP="001472A8">
      <w:pPr>
        <w:rPr>
          <w:iCs/>
        </w:rPr>
      </w:pPr>
    </w:p>
    <w:p w14:paraId="31409836" w14:textId="77777777" w:rsidR="002A3FEF" w:rsidRPr="000C6E90" w:rsidRDefault="002A3FEF" w:rsidP="002A3FEF">
      <w:pPr>
        <w:pStyle w:val="Heading4"/>
        <w:rPr>
          <w:sz w:val="28"/>
          <w:szCs w:val="28"/>
        </w:rPr>
      </w:pPr>
      <w:r w:rsidRPr="000C6E90">
        <w:rPr>
          <w:sz w:val="28"/>
          <w:szCs w:val="28"/>
        </w:rPr>
        <w:t>Dat</w:t>
      </w:r>
      <w:r w:rsidR="00DE72CF" w:rsidRPr="000C6E90">
        <w:rPr>
          <w:sz w:val="28"/>
          <w:szCs w:val="28"/>
        </w:rPr>
        <w:t>a</w:t>
      </w:r>
      <w:r w:rsidRPr="000C6E90">
        <w:rPr>
          <w:sz w:val="28"/>
          <w:szCs w:val="28"/>
        </w:rPr>
        <w:t xml:space="preserve"> Protection Implications</w:t>
      </w:r>
    </w:p>
    <w:p w14:paraId="0D360638" w14:textId="77777777" w:rsidR="003E4C35" w:rsidRDefault="003E4C35" w:rsidP="003E4C35">
      <w:pPr>
        <w:pStyle w:val="Heading3"/>
        <w:rPr>
          <w:b w:val="0"/>
          <w:bCs w:val="0"/>
          <w:sz w:val="24"/>
          <w:szCs w:val="24"/>
        </w:rPr>
      </w:pPr>
    </w:p>
    <w:p w14:paraId="411CA781" w14:textId="4AE9FA59" w:rsidR="00BC5530" w:rsidRPr="003E4C35" w:rsidRDefault="00BC5530">
      <w:pPr>
        <w:pStyle w:val="Heading3"/>
        <w:numPr>
          <w:ilvl w:val="0"/>
          <w:numId w:val="16"/>
        </w:numPr>
        <w:ind w:left="567" w:hanging="567"/>
        <w:rPr>
          <w:b w:val="0"/>
          <w:bCs w:val="0"/>
          <w:sz w:val="24"/>
          <w:szCs w:val="24"/>
        </w:rPr>
      </w:pPr>
      <w:r w:rsidRPr="003E4C35">
        <w:rPr>
          <w:b w:val="0"/>
          <w:bCs w:val="0"/>
          <w:sz w:val="24"/>
          <w:szCs w:val="24"/>
        </w:rPr>
        <w:t xml:space="preserve">There are no data protection </w:t>
      </w:r>
      <w:r w:rsidR="003E4C35" w:rsidRPr="003E4C35">
        <w:rPr>
          <w:b w:val="0"/>
          <w:bCs w:val="0"/>
          <w:sz w:val="24"/>
          <w:szCs w:val="24"/>
        </w:rPr>
        <w:t>implications</w:t>
      </w:r>
      <w:r w:rsidRPr="003E4C35">
        <w:rPr>
          <w:b w:val="0"/>
          <w:bCs w:val="0"/>
          <w:sz w:val="24"/>
          <w:szCs w:val="24"/>
        </w:rPr>
        <w:t xml:space="preserve"> </w:t>
      </w:r>
      <w:r w:rsidR="003E4C35" w:rsidRPr="003E4C35">
        <w:rPr>
          <w:b w:val="0"/>
          <w:bCs w:val="0"/>
          <w:sz w:val="24"/>
          <w:szCs w:val="24"/>
        </w:rPr>
        <w:t>to this re</w:t>
      </w:r>
      <w:r w:rsidRPr="003E4C35">
        <w:rPr>
          <w:b w:val="0"/>
          <w:bCs w:val="0"/>
          <w:sz w:val="24"/>
          <w:szCs w:val="24"/>
        </w:rPr>
        <w:t>port.</w:t>
      </w:r>
    </w:p>
    <w:p w14:paraId="75284416" w14:textId="2FEA0DB5" w:rsidR="00A81E19" w:rsidRDefault="00A81E19" w:rsidP="00A1211C">
      <w:pPr>
        <w:pStyle w:val="Heading3"/>
        <w:spacing w:before="480" w:after="240"/>
      </w:pPr>
      <w:r>
        <w:t>Risk Management Implications</w:t>
      </w:r>
    </w:p>
    <w:p w14:paraId="42F0BFA3" w14:textId="77777777" w:rsidR="008D3E6E" w:rsidRPr="009A2084" w:rsidRDefault="008D3E6E" w:rsidP="008D3E6E">
      <w:pPr>
        <w:pStyle w:val="ListParagraph"/>
        <w:numPr>
          <w:ilvl w:val="0"/>
          <w:numId w:val="16"/>
        </w:numPr>
        <w:tabs>
          <w:tab w:val="left" w:pos="5610"/>
        </w:tabs>
        <w:ind w:left="567" w:right="81" w:hanging="567"/>
      </w:pPr>
      <w:bookmarkStart w:id="0" w:name="_Hlk60923477"/>
      <w:bookmarkStart w:id="1" w:name="_Hlk60922991"/>
      <w:bookmarkStart w:id="2" w:name="_Hlk60923939"/>
      <w:r w:rsidRPr="000C6E90">
        <w:rPr>
          <w:rFonts w:cs="Arial"/>
          <w:szCs w:val="24"/>
          <w:lang w:val="en-US"/>
        </w:rPr>
        <w:t xml:space="preserve">Risks included on corporate or directorate risk </w:t>
      </w:r>
      <w:proofErr w:type="gramStart"/>
      <w:r w:rsidRPr="000C6E90">
        <w:rPr>
          <w:rFonts w:cs="Arial"/>
          <w:szCs w:val="24"/>
          <w:lang w:val="en-US"/>
        </w:rPr>
        <w:t>register?</w:t>
      </w:r>
      <w:proofErr w:type="gramEnd"/>
      <w:r w:rsidRPr="000C6E90">
        <w:rPr>
          <w:rFonts w:cs="Arial"/>
          <w:szCs w:val="24"/>
          <w:lang w:val="en-US"/>
        </w:rPr>
        <w:t xml:space="preserve"> </w:t>
      </w:r>
      <w:r w:rsidRPr="000C6E90">
        <w:rPr>
          <w:rFonts w:cs="Arial"/>
          <w:b/>
          <w:bCs/>
          <w:szCs w:val="24"/>
          <w:lang w:val="en-US"/>
        </w:rPr>
        <w:t>No</w:t>
      </w:r>
      <w:r w:rsidRPr="000C6E90">
        <w:rPr>
          <w:rFonts w:cs="Arial"/>
          <w:szCs w:val="24"/>
          <w:lang w:val="en-US"/>
        </w:rPr>
        <w:t xml:space="preserve"> </w:t>
      </w:r>
    </w:p>
    <w:p w14:paraId="28F4A629" w14:textId="77777777" w:rsidR="008D3E6E" w:rsidRPr="009A2084" w:rsidRDefault="008D3E6E" w:rsidP="008D3E6E">
      <w:pPr>
        <w:ind w:left="567" w:right="141" w:hanging="567"/>
        <w:rPr>
          <w:rFonts w:cs="Arial"/>
          <w:szCs w:val="24"/>
          <w:lang w:val="en-US" w:eastAsia="en-GB"/>
        </w:rPr>
      </w:pPr>
    </w:p>
    <w:p w14:paraId="4C97337B" w14:textId="77777777" w:rsidR="008D3E6E" w:rsidRPr="000C6E90" w:rsidRDefault="008D3E6E" w:rsidP="008D3E6E">
      <w:pPr>
        <w:pStyle w:val="ListParagraph"/>
        <w:numPr>
          <w:ilvl w:val="0"/>
          <w:numId w:val="16"/>
        </w:numPr>
        <w:ind w:left="567" w:right="141" w:hanging="567"/>
        <w:rPr>
          <w:rFonts w:cs="Arial"/>
          <w:szCs w:val="24"/>
          <w:lang w:val="en-US" w:eastAsia="en-GB"/>
        </w:rPr>
      </w:pPr>
      <w:r w:rsidRPr="000C6E90">
        <w:rPr>
          <w:rFonts w:cs="Arial"/>
          <w:szCs w:val="24"/>
          <w:lang w:val="en-US" w:eastAsia="en-GB"/>
        </w:rPr>
        <w:t xml:space="preserve">Separate risk register in place? </w:t>
      </w:r>
      <w:r w:rsidRPr="000C6E90">
        <w:rPr>
          <w:rFonts w:cs="Arial"/>
          <w:b/>
          <w:bCs/>
          <w:szCs w:val="24"/>
          <w:lang w:val="en-US" w:eastAsia="en-GB"/>
        </w:rPr>
        <w:t>No</w:t>
      </w:r>
      <w:r w:rsidRPr="000C6E90">
        <w:rPr>
          <w:rFonts w:cs="Arial"/>
          <w:szCs w:val="24"/>
          <w:lang w:val="en-US" w:eastAsia="en-GB"/>
        </w:rPr>
        <w:t xml:space="preserve"> </w:t>
      </w:r>
    </w:p>
    <w:p w14:paraId="5F9EE58D" w14:textId="77777777" w:rsidR="008D3E6E" w:rsidRPr="009A2084" w:rsidRDefault="008D3E6E" w:rsidP="008D3E6E">
      <w:pPr>
        <w:tabs>
          <w:tab w:val="left" w:pos="5610"/>
        </w:tabs>
        <w:ind w:left="567" w:right="81" w:hanging="567"/>
      </w:pPr>
    </w:p>
    <w:p w14:paraId="6DD93354" w14:textId="77777777" w:rsidR="008D3E6E" w:rsidRPr="00734F14" w:rsidRDefault="008D3E6E" w:rsidP="008D3E6E">
      <w:pPr>
        <w:pStyle w:val="ListParagraph"/>
        <w:numPr>
          <w:ilvl w:val="0"/>
          <w:numId w:val="16"/>
        </w:numPr>
        <w:tabs>
          <w:tab w:val="left" w:pos="5610"/>
        </w:tabs>
        <w:ind w:left="567" w:right="81" w:hanging="567"/>
      </w:pPr>
      <w:r>
        <w:t xml:space="preserve">The relevant risks contained in the register are attached/summarised below. </w:t>
      </w:r>
      <w:r w:rsidRPr="000C6E90">
        <w:rPr>
          <w:rFonts w:cs="Arial"/>
          <w:b/>
          <w:bCs/>
          <w:szCs w:val="24"/>
          <w:lang w:val="en-US" w:eastAsia="en-GB"/>
        </w:rPr>
        <w:t>N/A</w:t>
      </w:r>
    </w:p>
    <w:p w14:paraId="409306F1" w14:textId="77777777" w:rsidR="008D3E6E" w:rsidRDefault="008D3E6E" w:rsidP="008D3E6E">
      <w:pPr>
        <w:ind w:left="567" w:hanging="567"/>
      </w:pPr>
    </w:p>
    <w:p w14:paraId="637E14E7" w14:textId="77777777" w:rsidR="008D3E6E" w:rsidRDefault="008D3E6E" w:rsidP="008D3E6E">
      <w:pPr>
        <w:pStyle w:val="ListParagraph"/>
        <w:numPr>
          <w:ilvl w:val="0"/>
          <w:numId w:val="16"/>
        </w:numPr>
        <w:ind w:left="567" w:hanging="567"/>
      </w:pPr>
      <w:r>
        <w:t xml:space="preserve">The following key risks should be </w:t>
      </w:r>
      <w:proofErr w:type="gramStart"/>
      <w:r>
        <w:t>taken into account</w:t>
      </w:r>
      <w:proofErr w:type="gramEnd"/>
      <w:r>
        <w:t xml:space="preserve"> when agreeing the recommendations in this report:</w:t>
      </w:r>
    </w:p>
    <w:p w14:paraId="2A93BC72" w14:textId="77777777" w:rsidR="008D3E6E" w:rsidRDefault="008D3E6E" w:rsidP="008D3E6E">
      <w:pPr>
        <w:ind w:left="567" w:hanging="567"/>
      </w:pPr>
    </w:p>
    <w:tbl>
      <w:tblPr>
        <w:tblW w:w="9060"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2830"/>
        <w:gridCol w:w="4536"/>
        <w:gridCol w:w="1694"/>
      </w:tblGrid>
      <w:tr w:rsidR="008D3E6E" w14:paraId="14DE2232" w14:textId="77777777" w:rsidTr="0033309A">
        <w:trPr>
          <w:cantSplit/>
          <w:trHeight w:val="555"/>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p w14:paraId="4CFD52A8" w14:textId="77777777" w:rsidR="008D3E6E" w:rsidRDefault="008D3E6E" w:rsidP="00292AB4">
            <w:pPr>
              <w:spacing w:line="247" w:lineRule="auto"/>
              <w:ind w:right="141"/>
              <w:rPr>
                <w:rFonts w:cs="Arial"/>
                <w:b/>
                <w:bCs/>
                <w:szCs w:val="24"/>
                <w:lang w:val="en-US" w:eastAsia="en-GB"/>
              </w:rPr>
            </w:pPr>
            <w:r>
              <w:rPr>
                <w:rFonts w:cs="Arial"/>
                <w:b/>
                <w:bCs/>
                <w:szCs w:val="24"/>
                <w:lang w:val="en-US" w:eastAsia="en-GB"/>
              </w:rPr>
              <w:t>Risk Description</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p w14:paraId="2D58C7CE" w14:textId="77777777" w:rsidR="008D3E6E" w:rsidRDefault="008D3E6E" w:rsidP="00292AB4">
            <w:pPr>
              <w:spacing w:line="247" w:lineRule="auto"/>
              <w:ind w:right="141"/>
              <w:rPr>
                <w:rFonts w:cs="Arial"/>
                <w:b/>
                <w:bCs/>
                <w:szCs w:val="24"/>
                <w:lang w:val="en-US" w:eastAsia="en-GB"/>
              </w:rPr>
            </w:pPr>
            <w:r>
              <w:rPr>
                <w:rFonts w:cs="Arial"/>
                <w:b/>
                <w:bCs/>
                <w:szCs w:val="24"/>
                <w:lang w:val="en-US" w:eastAsia="en-GB"/>
              </w:rPr>
              <w:t>Mitigations</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1F5FC55" w14:textId="77777777" w:rsidR="008D3E6E" w:rsidRDefault="008D3E6E" w:rsidP="00292AB4">
            <w:pPr>
              <w:spacing w:line="247" w:lineRule="auto"/>
              <w:ind w:left="171" w:right="141"/>
              <w:rPr>
                <w:rFonts w:cs="Arial"/>
                <w:b/>
                <w:bCs/>
                <w:szCs w:val="24"/>
                <w:lang w:val="en-US" w:eastAsia="en-GB"/>
              </w:rPr>
            </w:pPr>
            <w:r>
              <w:rPr>
                <w:rFonts w:cs="Arial"/>
                <w:b/>
                <w:bCs/>
                <w:szCs w:val="24"/>
                <w:lang w:val="en-US" w:eastAsia="en-GB"/>
              </w:rPr>
              <w:t>RAG Status</w:t>
            </w:r>
          </w:p>
        </w:tc>
      </w:tr>
      <w:tr w:rsidR="008D3E6E" w14:paraId="17DE4ECF" w14:textId="77777777" w:rsidTr="00292AB4">
        <w:trPr>
          <w:tblHeader/>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8D29F6C" w14:textId="4E2D0457" w:rsidR="008D3E6E" w:rsidRPr="005B2934" w:rsidRDefault="008D3E6E" w:rsidP="00292AB4">
            <w:pPr>
              <w:rPr>
                <w:b/>
                <w:bCs/>
              </w:rPr>
            </w:pPr>
            <w:r w:rsidRPr="005B2934">
              <w:rPr>
                <w:b/>
                <w:bCs/>
              </w:rPr>
              <w:t xml:space="preserve">The </w:t>
            </w:r>
            <w:r w:rsidR="0033309A" w:rsidRPr="005B2934">
              <w:rPr>
                <w:b/>
                <w:bCs/>
              </w:rPr>
              <w:t>three-year</w:t>
            </w:r>
            <w:r w:rsidRPr="005B2934">
              <w:rPr>
                <w:b/>
                <w:bCs/>
              </w:rPr>
              <w:t xml:space="preserve"> offer does not meet market expectation </w:t>
            </w:r>
            <w:r w:rsidRPr="005B2934">
              <w:rPr>
                <w:rFonts w:cs="Arial"/>
                <w:b/>
                <w:bCs/>
                <w:szCs w:val="24"/>
                <w:lang w:val="en-US" w:eastAsia="en-GB"/>
              </w:rPr>
              <w:t>and there are formal notices to hand back care packages</w:t>
            </w:r>
          </w:p>
          <w:p w14:paraId="333AC21C" w14:textId="77777777" w:rsidR="008D3E6E" w:rsidRPr="005B2934" w:rsidRDefault="008D3E6E" w:rsidP="00292AB4">
            <w:pPr>
              <w:spacing w:line="247" w:lineRule="auto"/>
              <w:ind w:right="141"/>
              <w:rPr>
                <w:rFonts w:cs="Arial"/>
                <w:b/>
                <w:bCs/>
                <w:szCs w:val="24"/>
                <w:lang w:val="en-US" w:eastAsia="en-GB"/>
              </w:rPr>
            </w:pPr>
          </w:p>
          <w:p w14:paraId="703577C6" w14:textId="77777777" w:rsidR="008D3E6E" w:rsidRPr="00720D4F" w:rsidRDefault="008D3E6E" w:rsidP="00292AB4">
            <w:pPr>
              <w:spacing w:line="247" w:lineRule="auto"/>
              <w:ind w:right="141"/>
              <w:rPr>
                <w:rFonts w:cs="Arial"/>
                <w:b/>
                <w:bCs/>
                <w:color w:val="002060"/>
                <w:szCs w:val="24"/>
                <w:lang w:val="en-US" w:eastAsia="en-GB"/>
              </w:rPr>
            </w:pPr>
          </w:p>
          <w:p w14:paraId="4E40CB55" w14:textId="77777777" w:rsidR="008D3E6E" w:rsidRPr="00720D4F" w:rsidRDefault="008D3E6E" w:rsidP="00292AB4">
            <w:pPr>
              <w:spacing w:line="247" w:lineRule="auto"/>
              <w:ind w:right="141"/>
              <w:rPr>
                <w:rFonts w:cs="Arial"/>
                <w:b/>
                <w:bCs/>
                <w:color w:val="002060"/>
                <w:szCs w:val="24"/>
                <w:lang w:val="en-US" w:eastAsia="en-GB"/>
              </w:rPr>
            </w:pPr>
          </w:p>
          <w:p w14:paraId="26C56501" w14:textId="77777777" w:rsidR="008D3E6E" w:rsidRDefault="008D3E6E" w:rsidP="00292AB4">
            <w:pPr>
              <w:spacing w:line="247" w:lineRule="auto"/>
              <w:ind w:right="141"/>
              <w:rPr>
                <w:rFonts w:cs="Arial"/>
                <w:b/>
                <w:bCs/>
                <w:szCs w:val="24"/>
                <w:lang w:val="en-US" w:eastAsia="en-GB"/>
              </w:rPr>
            </w:pPr>
          </w:p>
          <w:p w14:paraId="7DC0AB21" w14:textId="77777777" w:rsidR="008D3E6E" w:rsidRPr="00467820" w:rsidRDefault="008D3E6E" w:rsidP="00292AB4">
            <w:pPr>
              <w:spacing w:line="247" w:lineRule="auto"/>
              <w:ind w:right="141"/>
              <w:rPr>
                <w:rFonts w:cs="Arial"/>
                <w:b/>
                <w:bCs/>
                <w:szCs w:val="24"/>
                <w:lang w:val="en-US" w:eastAsia="en-GB"/>
              </w:rPr>
            </w:pPr>
          </w:p>
          <w:p w14:paraId="63721409" w14:textId="77777777" w:rsidR="008D3E6E" w:rsidRPr="00467820" w:rsidRDefault="008D3E6E" w:rsidP="00292AB4">
            <w:pPr>
              <w:spacing w:line="247" w:lineRule="auto"/>
              <w:ind w:right="141"/>
              <w:rPr>
                <w:rFonts w:cs="Arial"/>
                <w:b/>
                <w:bCs/>
                <w:szCs w:val="24"/>
                <w:lang w:val="en-US" w:eastAsia="en-GB"/>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2A7791A3" w14:textId="77777777" w:rsidR="008D3E6E" w:rsidRPr="000C6E90" w:rsidRDefault="008D3E6E" w:rsidP="00292AB4">
            <w:pPr>
              <w:pStyle w:val="ListParagraph"/>
              <w:numPr>
                <w:ilvl w:val="0"/>
                <w:numId w:val="12"/>
              </w:numPr>
              <w:tabs>
                <w:tab w:val="left" w:pos="307"/>
              </w:tabs>
              <w:spacing w:line="247" w:lineRule="auto"/>
              <w:ind w:left="307" w:right="141" w:hanging="307"/>
              <w:rPr>
                <w:rFonts w:cs="Arial"/>
                <w:szCs w:val="24"/>
                <w:lang w:val="en-US" w:eastAsia="en-GB"/>
              </w:rPr>
            </w:pPr>
            <w:r w:rsidRPr="000C6E90">
              <w:rPr>
                <w:rFonts w:cs="Arial"/>
                <w:szCs w:val="24"/>
                <w:lang w:val="en-US" w:eastAsia="en-GB"/>
              </w:rPr>
              <w:t>Harrow is committed to a 7% increase over 3 years and a one</w:t>
            </w:r>
            <w:r>
              <w:rPr>
                <w:rFonts w:cs="Arial"/>
                <w:szCs w:val="24"/>
                <w:lang w:val="en-US" w:eastAsia="en-GB"/>
              </w:rPr>
              <w:t>-</w:t>
            </w:r>
            <w:r w:rsidRPr="000C6E90">
              <w:rPr>
                <w:rFonts w:cs="Arial"/>
                <w:szCs w:val="24"/>
                <w:lang w:val="en-US" w:eastAsia="en-GB"/>
              </w:rPr>
              <w:t>off payment for 23/24</w:t>
            </w:r>
            <w:r>
              <w:rPr>
                <w:rFonts w:cs="Arial"/>
                <w:szCs w:val="24"/>
                <w:lang w:val="en-US" w:eastAsia="en-GB"/>
              </w:rPr>
              <w:t xml:space="preserve"> which represents a realistic and affordable offer</w:t>
            </w:r>
            <w:r w:rsidRPr="000C6E90">
              <w:rPr>
                <w:rFonts w:cs="Arial"/>
                <w:szCs w:val="24"/>
                <w:lang w:val="en-US" w:eastAsia="en-GB"/>
              </w:rPr>
              <w:t xml:space="preserve"> </w:t>
            </w:r>
          </w:p>
          <w:p w14:paraId="481AD110" w14:textId="77777777" w:rsidR="008D3E6E" w:rsidRPr="000C6E90" w:rsidRDefault="008D3E6E" w:rsidP="00292AB4">
            <w:pPr>
              <w:pStyle w:val="ListParagraph"/>
              <w:numPr>
                <w:ilvl w:val="0"/>
                <w:numId w:val="12"/>
              </w:numPr>
              <w:tabs>
                <w:tab w:val="left" w:pos="307"/>
              </w:tabs>
              <w:spacing w:line="247" w:lineRule="auto"/>
              <w:ind w:left="307" w:right="141" w:hanging="307"/>
              <w:rPr>
                <w:rFonts w:cs="Arial"/>
                <w:szCs w:val="24"/>
                <w:lang w:val="en-US" w:eastAsia="en-GB"/>
              </w:rPr>
            </w:pPr>
            <w:r w:rsidRPr="000C6E90">
              <w:rPr>
                <w:rFonts w:cs="Arial"/>
                <w:szCs w:val="24"/>
                <w:lang w:val="en-US" w:eastAsia="en-GB"/>
              </w:rPr>
              <w:t xml:space="preserve">Year 1 will see a 2.5% increase to all home care providers and a process to increase costs to LD. MH, CYAD and Day Providers. The Review Panel will consider requests for uplifts and manage those cases where a provider formally gives notice.   </w:t>
            </w:r>
          </w:p>
          <w:p w14:paraId="47D32B27" w14:textId="77777777" w:rsidR="008D3E6E" w:rsidRPr="000C6E90" w:rsidRDefault="008D3E6E" w:rsidP="00292AB4">
            <w:pPr>
              <w:pStyle w:val="ListParagraph"/>
              <w:numPr>
                <w:ilvl w:val="0"/>
                <w:numId w:val="13"/>
              </w:numPr>
              <w:tabs>
                <w:tab w:val="left" w:pos="307"/>
              </w:tabs>
              <w:suppressAutoHyphens/>
              <w:autoSpaceDN w:val="0"/>
              <w:spacing w:line="247" w:lineRule="auto"/>
              <w:ind w:left="307" w:right="141" w:hanging="307"/>
              <w:rPr>
                <w:rFonts w:cs="Arial"/>
                <w:szCs w:val="24"/>
                <w:lang w:val="en-US" w:eastAsia="en-GB"/>
              </w:rPr>
            </w:pPr>
            <w:r w:rsidRPr="000C6E90">
              <w:rPr>
                <w:rFonts w:cs="Arial"/>
                <w:szCs w:val="24"/>
                <w:lang w:val="en-US" w:eastAsia="en-GB"/>
              </w:rPr>
              <w:t>There are currently 52 providers of home care and 256 bedded care providers.</w:t>
            </w:r>
            <w:r>
              <w:rPr>
                <w:rFonts w:cs="Arial"/>
                <w:szCs w:val="24"/>
                <w:lang w:val="en-US" w:eastAsia="en-GB"/>
              </w:rPr>
              <w:t xml:space="preserve"> </w:t>
            </w:r>
            <w:proofErr w:type="gramStart"/>
            <w:r>
              <w:rPr>
                <w:rFonts w:cs="Arial"/>
                <w:szCs w:val="24"/>
                <w:lang w:val="en-US" w:eastAsia="en-GB"/>
              </w:rPr>
              <w:t>So</w:t>
            </w:r>
            <w:proofErr w:type="gramEnd"/>
            <w:r w:rsidRPr="000C6E90">
              <w:rPr>
                <w:rFonts w:cs="Arial"/>
                <w:szCs w:val="24"/>
                <w:lang w:val="en-US" w:eastAsia="en-GB"/>
              </w:rPr>
              <w:t xml:space="preserve"> </w:t>
            </w:r>
            <w:r>
              <w:rPr>
                <w:rFonts w:cs="Arial"/>
                <w:szCs w:val="24"/>
                <w:lang w:val="en-US" w:eastAsia="en-GB"/>
              </w:rPr>
              <w:t xml:space="preserve">if care packages are handed back there are other providers in the market who may be </w:t>
            </w:r>
            <w:r>
              <w:rPr>
                <w:rFonts w:cs="Arial"/>
                <w:szCs w:val="24"/>
                <w:lang w:val="en-US" w:eastAsia="en-GB"/>
              </w:rPr>
              <w:lastRenderedPageBreak/>
              <w:t xml:space="preserve">able to take them. </w:t>
            </w:r>
            <w:proofErr w:type="gramStart"/>
            <w:r>
              <w:rPr>
                <w:rFonts w:cs="Arial"/>
                <w:szCs w:val="24"/>
                <w:lang w:val="en-US" w:eastAsia="en-GB"/>
              </w:rPr>
              <w:t>However</w:t>
            </w:r>
            <w:proofErr w:type="gramEnd"/>
            <w:r>
              <w:rPr>
                <w:rFonts w:cs="Arial"/>
                <w:szCs w:val="24"/>
                <w:lang w:val="en-US" w:eastAsia="en-GB"/>
              </w:rPr>
              <w:t xml:space="preserve"> w</w:t>
            </w:r>
            <w:r w:rsidRPr="000C6E90">
              <w:rPr>
                <w:rFonts w:cs="Arial"/>
                <w:szCs w:val="24"/>
                <w:lang w:val="en-US" w:eastAsia="en-GB"/>
              </w:rPr>
              <w:t>hilst there is a high number of providers, there may not be capacity or expertise across the market if high numbers of packages are formally handed back</w:t>
            </w:r>
            <w:r>
              <w:rPr>
                <w:rFonts w:cs="Arial"/>
                <w:szCs w:val="24"/>
                <w:lang w:val="en-US" w:eastAsia="en-GB"/>
              </w:rPr>
              <w:t xml:space="preserve">. </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hideMark/>
          </w:tcPr>
          <w:p w14:paraId="0B2B56EE" w14:textId="77777777" w:rsidR="008D3E6E" w:rsidRPr="00467820" w:rsidRDefault="008D3E6E" w:rsidP="00292AB4">
            <w:pPr>
              <w:spacing w:line="247" w:lineRule="auto"/>
              <w:ind w:left="171" w:right="141"/>
              <w:jc w:val="center"/>
              <w:rPr>
                <w:rFonts w:cs="Arial"/>
                <w:b/>
                <w:bCs/>
                <w:szCs w:val="24"/>
                <w:lang w:val="en-US" w:eastAsia="en-GB"/>
              </w:rPr>
            </w:pPr>
            <w:r>
              <w:rPr>
                <w:rFonts w:cs="Arial"/>
                <w:b/>
                <w:bCs/>
                <w:szCs w:val="24"/>
                <w:lang w:val="en-US" w:eastAsia="en-GB"/>
              </w:rPr>
              <w:lastRenderedPageBreak/>
              <w:t>AMBER</w:t>
            </w:r>
          </w:p>
          <w:p w14:paraId="18B2A12F" w14:textId="77777777" w:rsidR="008D3E6E" w:rsidRPr="00467820" w:rsidRDefault="008D3E6E" w:rsidP="00292AB4">
            <w:pPr>
              <w:spacing w:line="247" w:lineRule="auto"/>
              <w:ind w:left="171" w:right="141"/>
              <w:rPr>
                <w:rFonts w:cs="Arial"/>
                <w:b/>
                <w:bCs/>
                <w:szCs w:val="24"/>
                <w:lang w:val="en-US" w:eastAsia="en-GB"/>
              </w:rPr>
            </w:pPr>
          </w:p>
        </w:tc>
      </w:tr>
      <w:tr w:rsidR="008D3E6E" w14:paraId="1E50DDA5" w14:textId="77777777" w:rsidTr="00292AB4">
        <w:trPr>
          <w:trHeight w:val="1528"/>
          <w:tblHeader/>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468220A8" w14:textId="77777777" w:rsidR="008D3E6E" w:rsidRPr="00E27158" w:rsidRDefault="008D3E6E" w:rsidP="00292AB4">
            <w:pPr>
              <w:spacing w:line="247" w:lineRule="auto"/>
              <w:ind w:right="141"/>
              <w:rPr>
                <w:rFonts w:cs="Arial"/>
                <w:b/>
                <w:bCs/>
                <w:szCs w:val="24"/>
                <w:lang w:val="en-US" w:eastAsia="en-GB"/>
              </w:rPr>
            </w:pPr>
            <w:r>
              <w:rPr>
                <w:rFonts w:cs="Arial"/>
                <w:b/>
                <w:bCs/>
                <w:szCs w:val="24"/>
                <w:lang w:val="en-US" w:eastAsia="en-GB"/>
              </w:rPr>
              <w:t>There is a j</w:t>
            </w:r>
            <w:r w:rsidRPr="00467820">
              <w:rPr>
                <w:rFonts w:cs="Arial"/>
                <w:b/>
                <w:bCs/>
                <w:szCs w:val="24"/>
                <w:lang w:val="en-US" w:eastAsia="en-GB"/>
              </w:rPr>
              <w:t xml:space="preserve">udicial </w:t>
            </w:r>
            <w:r>
              <w:rPr>
                <w:rFonts w:cs="Arial"/>
                <w:b/>
                <w:bCs/>
                <w:szCs w:val="24"/>
                <w:lang w:val="en-US" w:eastAsia="en-GB"/>
              </w:rPr>
              <w:t>r</w:t>
            </w:r>
            <w:r w:rsidRPr="00467820">
              <w:rPr>
                <w:rFonts w:cs="Arial"/>
                <w:b/>
                <w:bCs/>
                <w:szCs w:val="24"/>
                <w:lang w:val="en-US" w:eastAsia="en-GB"/>
              </w:rPr>
              <w:t xml:space="preserve">eview/legal challenge </w:t>
            </w:r>
            <w:r>
              <w:rPr>
                <w:rFonts w:cs="Arial"/>
                <w:b/>
                <w:bCs/>
                <w:szCs w:val="24"/>
                <w:lang w:val="en-US" w:eastAsia="en-GB"/>
              </w:rPr>
              <w:t xml:space="preserve">to the level of uplifts being offered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92BB57C" w14:textId="77777777" w:rsidR="008D3E6E" w:rsidRDefault="008D3E6E" w:rsidP="00292AB4">
            <w:pPr>
              <w:pStyle w:val="ListParagraph"/>
              <w:numPr>
                <w:ilvl w:val="0"/>
                <w:numId w:val="14"/>
              </w:numPr>
              <w:spacing w:line="247" w:lineRule="auto"/>
              <w:ind w:left="307" w:right="141" w:hanging="284"/>
              <w:rPr>
                <w:rFonts w:cs="Arial"/>
                <w:szCs w:val="24"/>
                <w:lang w:val="en-US" w:eastAsia="en-GB"/>
              </w:rPr>
            </w:pPr>
            <w:r w:rsidRPr="000C6E90">
              <w:rPr>
                <w:rFonts w:cs="Arial"/>
                <w:szCs w:val="24"/>
                <w:lang w:val="en-US" w:eastAsia="en-GB"/>
              </w:rPr>
              <w:t xml:space="preserve">Officers have worked with legal to develop Harrow’s approach for uplifts for 2023/24 to </w:t>
            </w:r>
            <w:proofErr w:type="spellStart"/>
            <w:r w:rsidRPr="000C6E90">
              <w:rPr>
                <w:rFonts w:cs="Arial"/>
                <w:szCs w:val="24"/>
                <w:lang w:val="en-US" w:eastAsia="en-GB"/>
              </w:rPr>
              <w:t>minimise</w:t>
            </w:r>
            <w:proofErr w:type="spellEnd"/>
            <w:r w:rsidRPr="000C6E90">
              <w:rPr>
                <w:rFonts w:cs="Arial"/>
                <w:szCs w:val="24"/>
                <w:lang w:val="en-US" w:eastAsia="en-GB"/>
              </w:rPr>
              <w:t xml:space="preserve"> legal challenge as outlined in the main paper</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6CDE1176" w14:textId="77777777" w:rsidR="008D3E6E" w:rsidRDefault="008D3E6E" w:rsidP="00292AB4">
            <w:pPr>
              <w:spacing w:line="247" w:lineRule="auto"/>
              <w:ind w:left="171" w:right="141"/>
              <w:jc w:val="center"/>
              <w:rPr>
                <w:rFonts w:cs="Arial"/>
                <w:b/>
                <w:bCs/>
                <w:szCs w:val="24"/>
                <w:lang w:val="en-US" w:eastAsia="en-GB"/>
              </w:rPr>
            </w:pPr>
            <w:r>
              <w:rPr>
                <w:rFonts w:cs="Arial"/>
                <w:b/>
                <w:bCs/>
                <w:szCs w:val="24"/>
                <w:lang w:val="en-US" w:eastAsia="en-GB"/>
              </w:rPr>
              <w:t>AMBER</w:t>
            </w:r>
          </w:p>
        </w:tc>
      </w:tr>
      <w:tr w:rsidR="008D3E6E" w14:paraId="66774693" w14:textId="77777777" w:rsidTr="00292AB4">
        <w:trPr>
          <w:trHeight w:val="1528"/>
          <w:tblHeader/>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1F53CD7F" w14:textId="77777777" w:rsidR="008D3E6E" w:rsidRPr="005B2934" w:rsidRDefault="008D3E6E" w:rsidP="00292AB4">
            <w:pPr>
              <w:spacing w:line="247" w:lineRule="auto"/>
              <w:ind w:right="141"/>
              <w:rPr>
                <w:rFonts w:cs="Arial"/>
                <w:b/>
                <w:bCs/>
                <w:szCs w:val="24"/>
                <w:lang w:val="en-US" w:eastAsia="en-GB"/>
              </w:rPr>
            </w:pPr>
            <w:r w:rsidRPr="005B2934">
              <w:rPr>
                <w:b/>
                <w:bCs/>
              </w:rPr>
              <w:t>The temporary nature of the £2m funding boost in 2023/24 creates a financial dependency on the Council which cannot be fulfilled in 2024/25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6CFF50B5" w14:textId="77777777" w:rsidR="008D3E6E" w:rsidRDefault="008D3E6E" w:rsidP="00292AB4">
            <w:pPr>
              <w:pStyle w:val="ListParagraph"/>
              <w:numPr>
                <w:ilvl w:val="0"/>
                <w:numId w:val="14"/>
              </w:numPr>
              <w:spacing w:line="247" w:lineRule="auto"/>
              <w:ind w:left="307" w:right="141" w:hanging="284"/>
              <w:rPr>
                <w:rFonts w:cs="Arial"/>
                <w:szCs w:val="24"/>
                <w:lang w:val="en-US" w:eastAsia="en-GB"/>
              </w:rPr>
            </w:pPr>
            <w:r>
              <w:rPr>
                <w:rFonts w:cs="Arial"/>
                <w:szCs w:val="24"/>
                <w:lang w:val="en-US" w:eastAsia="en-GB"/>
              </w:rPr>
              <w:t>Communication to the market will make it explicitly clear that this is a one-off payment for 23/24.</w:t>
            </w:r>
          </w:p>
          <w:p w14:paraId="19C82C36" w14:textId="77777777" w:rsidR="008D3E6E" w:rsidRDefault="008D3E6E" w:rsidP="00292AB4">
            <w:pPr>
              <w:pStyle w:val="ListParagraph"/>
              <w:numPr>
                <w:ilvl w:val="0"/>
                <w:numId w:val="14"/>
              </w:numPr>
              <w:spacing w:line="247" w:lineRule="auto"/>
              <w:ind w:left="307" w:right="141" w:hanging="284"/>
              <w:rPr>
                <w:rFonts w:cs="Arial"/>
                <w:szCs w:val="24"/>
                <w:lang w:val="en-US" w:eastAsia="en-GB"/>
              </w:rPr>
            </w:pPr>
            <w:r>
              <w:rPr>
                <w:rFonts w:cs="Arial"/>
                <w:szCs w:val="24"/>
                <w:lang w:val="en-US" w:eastAsia="en-GB"/>
              </w:rPr>
              <w:t xml:space="preserve">The market will be informed of the Council’s commitment to an uplift in 24/25 </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2F54E238" w14:textId="77777777" w:rsidR="008D3E6E" w:rsidRDefault="008D3E6E" w:rsidP="00292AB4">
            <w:pPr>
              <w:spacing w:line="247" w:lineRule="auto"/>
              <w:ind w:left="171" w:right="141"/>
              <w:jc w:val="center"/>
              <w:rPr>
                <w:rFonts w:cs="Arial"/>
                <w:b/>
                <w:bCs/>
                <w:szCs w:val="24"/>
                <w:lang w:val="en-US" w:eastAsia="en-GB"/>
              </w:rPr>
            </w:pPr>
            <w:r>
              <w:rPr>
                <w:rFonts w:cs="Arial"/>
                <w:b/>
                <w:bCs/>
                <w:szCs w:val="24"/>
                <w:lang w:val="en-US" w:eastAsia="en-GB"/>
              </w:rPr>
              <w:t>AMBER</w:t>
            </w:r>
          </w:p>
        </w:tc>
      </w:tr>
      <w:tr w:rsidR="008D3E6E" w14:paraId="4D0D2D55" w14:textId="77777777" w:rsidTr="00292AB4">
        <w:trPr>
          <w:trHeight w:val="1528"/>
          <w:tblHeader/>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8DB5324" w14:textId="77777777" w:rsidR="008D3E6E" w:rsidRDefault="008D3E6E" w:rsidP="00292AB4">
            <w:pPr>
              <w:spacing w:line="247" w:lineRule="auto"/>
              <w:ind w:right="141"/>
              <w:rPr>
                <w:rFonts w:cs="Arial"/>
                <w:b/>
                <w:bCs/>
                <w:szCs w:val="24"/>
                <w:lang w:val="en-US" w:eastAsia="en-GB"/>
              </w:rPr>
            </w:pPr>
            <w:r>
              <w:rPr>
                <w:rFonts w:cs="Arial"/>
                <w:b/>
                <w:bCs/>
                <w:szCs w:val="24"/>
                <w:lang w:val="en-US" w:eastAsia="en-GB"/>
              </w:rPr>
              <w:t>The Council is required or otherwise obliged to offer levels of uplift over and above what is currently being put forward</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61114878" w14:textId="77777777" w:rsidR="008D3E6E" w:rsidRDefault="008D3E6E" w:rsidP="00292AB4">
            <w:pPr>
              <w:pStyle w:val="ListParagraph"/>
              <w:numPr>
                <w:ilvl w:val="0"/>
                <w:numId w:val="14"/>
              </w:numPr>
              <w:spacing w:line="247" w:lineRule="auto"/>
              <w:ind w:left="307" w:right="141" w:hanging="284"/>
              <w:rPr>
                <w:rFonts w:cs="Arial"/>
                <w:szCs w:val="24"/>
                <w:lang w:val="en-US" w:eastAsia="en-GB"/>
              </w:rPr>
            </w:pPr>
            <w:r>
              <w:rPr>
                <w:rFonts w:cs="Arial"/>
                <w:szCs w:val="24"/>
                <w:lang w:val="en-US" w:eastAsia="en-GB"/>
              </w:rPr>
              <w:t>The Council has set out its 3-year approach to uplifts</w:t>
            </w:r>
          </w:p>
          <w:p w14:paraId="6F160CDE" w14:textId="77777777" w:rsidR="008D3E6E" w:rsidRDefault="008D3E6E" w:rsidP="00292AB4">
            <w:pPr>
              <w:pStyle w:val="ListParagraph"/>
              <w:numPr>
                <w:ilvl w:val="0"/>
                <w:numId w:val="14"/>
              </w:numPr>
              <w:spacing w:line="247" w:lineRule="auto"/>
              <w:ind w:left="307" w:right="141" w:hanging="284"/>
              <w:rPr>
                <w:rFonts w:cs="Arial"/>
                <w:szCs w:val="24"/>
                <w:lang w:val="en-US" w:eastAsia="en-GB"/>
              </w:rPr>
            </w:pPr>
            <w:r>
              <w:rPr>
                <w:rFonts w:cs="Arial"/>
                <w:szCs w:val="24"/>
                <w:lang w:val="en-US" w:eastAsia="en-GB"/>
              </w:rPr>
              <w:t xml:space="preserve">The Council has built up good/long term relationships with providers </w:t>
            </w:r>
          </w:p>
          <w:p w14:paraId="3BF8825B" w14:textId="77777777" w:rsidR="008D3E6E" w:rsidRDefault="008D3E6E" w:rsidP="00292AB4">
            <w:pPr>
              <w:pStyle w:val="ListParagraph"/>
              <w:numPr>
                <w:ilvl w:val="0"/>
                <w:numId w:val="14"/>
              </w:numPr>
              <w:spacing w:line="247" w:lineRule="auto"/>
              <w:ind w:left="307" w:right="141" w:hanging="284"/>
              <w:rPr>
                <w:rFonts w:cs="Arial"/>
                <w:szCs w:val="24"/>
                <w:lang w:val="en-US" w:eastAsia="en-GB"/>
              </w:rPr>
            </w:pPr>
            <w:r>
              <w:rPr>
                <w:rFonts w:cs="Arial"/>
                <w:szCs w:val="24"/>
                <w:lang w:val="en-US" w:eastAsia="en-GB"/>
              </w:rPr>
              <w:t xml:space="preserve">Providers may risk reputational damage if they hand back packages </w:t>
            </w:r>
          </w:p>
          <w:p w14:paraId="47ADB181" w14:textId="77777777" w:rsidR="008D3E6E" w:rsidRPr="000C6E90" w:rsidRDefault="008D3E6E" w:rsidP="00292AB4">
            <w:pPr>
              <w:pStyle w:val="ListParagraph"/>
              <w:numPr>
                <w:ilvl w:val="0"/>
                <w:numId w:val="14"/>
              </w:numPr>
              <w:spacing w:line="247" w:lineRule="auto"/>
              <w:ind w:left="307" w:right="141" w:hanging="284"/>
              <w:rPr>
                <w:rFonts w:cs="Arial"/>
                <w:szCs w:val="24"/>
                <w:lang w:val="en-US" w:eastAsia="en-GB"/>
              </w:rPr>
            </w:pPr>
            <w:r>
              <w:rPr>
                <w:rFonts w:cs="Arial"/>
                <w:szCs w:val="24"/>
                <w:lang w:val="en-US" w:eastAsia="en-GB"/>
              </w:rPr>
              <w:t xml:space="preserve">If packages are </w:t>
            </w:r>
            <w:proofErr w:type="gramStart"/>
            <w:r>
              <w:rPr>
                <w:rFonts w:cs="Arial"/>
                <w:szCs w:val="24"/>
                <w:lang w:val="en-US" w:eastAsia="en-GB"/>
              </w:rPr>
              <w:t>handed</w:t>
            </w:r>
            <w:proofErr w:type="gramEnd"/>
            <w:r>
              <w:rPr>
                <w:rFonts w:cs="Arial"/>
                <w:szCs w:val="24"/>
                <w:lang w:val="en-US" w:eastAsia="en-GB"/>
              </w:rPr>
              <w:t xml:space="preserve"> they will need to be recommissioned on a case-by-case basis </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6D7F7089" w14:textId="77777777" w:rsidR="008D3E6E" w:rsidRDefault="008D3E6E" w:rsidP="00292AB4">
            <w:pPr>
              <w:spacing w:line="247" w:lineRule="auto"/>
              <w:ind w:left="171" w:right="141"/>
              <w:jc w:val="center"/>
              <w:rPr>
                <w:rFonts w:cs="Arial"/>
                <w:b/>
                <w:bCs/>
                <w:szCs w:val="24"/>
                <w:lang w:val="en-US" w:eastAsia="en-GB"/>
              </w:rPr>
            </w:pPr>
            <w:r>
              <w:rPr>
                <w:rFonts w:cs="Arial"/>
                <w:b/>
                <w:bCs/>
                <w:szCs w:val="24"/>
                <w:lang w:val="en-US" w:eastAsia="en-GB"/>
              </w:rPr>
              <w:t>AMBER</w:t>
            </w:r>
          </w:p>
        </w:tc>
      </w:tr>
      <w:tr w:rsidR="008D3E6E" w14:paraId="762E70E7" w14:textId="77777777" w:rsidTr="00B23445">
        <w:trPr>
          <w:trHeight w:val="1266"/>
          <w:tblHeader/>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90EF92" w14:textId="77777777" w:rsidR="008D3E6E" w:rsidRDefault="008D3E6E" w:rsidP="00292AB4">
            <w:pPr>
              <w:spacing w:line="247" w:lineRule="auto"/>
              <w:ind w:right="141"/>
              <w:rPr>
                <w:rFonts w:cs="Arial"/>
                <w:b/>
                <w:bCs/>
                <w:szCs w:val="24"/>
                <w:lang w:val="en-US" w:eastAsia="en-GB"/>
              </w:rPr>
            </w:pPr>
            <w:r>
              <w:rPr>
                <w:rFonts w:cs="Arial"/>
                <w:b/>
                <w:bCs/>
                <w:szCs w:val="24"/>
                <w:lang w:val="en-US" w:eastAsia="en-GB"/>
              </w:rPr>
              <w:t xml:space="preserve">The </w:t>
            </w:r>
            <w:r w:rsidRPr="00467820">
              <w:rPr>
                <w:rFonts w:cs="Arial"/>
                <w:b/>
                <w:bCs/>
                <w:szCs w:val="24"/>
                <w:lang w:val="en-US" w:eastAsia="en-GB"/>
              </w:rPr>
              <w:t xml:space="preserve">cost of new </w:t>
            </w:r>
            <w:r>
              <w:rPr>
                <w:rFonts w:cs="Arial"/>
                <w:b/>
                <w:bCs/>
                <w:szCs w:val="24"/>
                <w:lang w:val="en-US" w:eastAsia="en-GB"/>
              </w:rPr>
              <w:t xml:space="preserve">care </w:t>
            </w:r>
            <w:r w:rsidRPr="00467820">
              <w:rPr>
                <w:rFonts w:cs="Arial"/>
                <w:b/>
                <w:bCs/>
                <w:szCs w:val="24"/>
                <w:lang w:val="en-US" w:eastAsia="en-GB"/>
              </w:rPr>
              <w:t>package</w:t>
            </w:r>
            <w:r>
              <w:rPr>
                <w:rFonts w:cs="Arial"/>
                <w:b/>
                <w:bCs/>
                <w:szCs w:val="24"/>
                <w:lang w:val="en-US" w:eastAsia="en-GB"/>
              </w:rPr>
              <w:t xml:space="preserve"> i</w:t>
            </w:r>
            <w:r w:rsidRPr="00467820">
              <w:rPr>
                <w:rFonts w:cs="Arial"/>
                <w:b/>
                <w:bCs/>
                <w:szCs w:val="24"/>
                <w:lang w:val="en-US" w:eastAsia="en-GB"/>
              </w:rPr>
              <w:t>ncrease</w:t>
            </w:r>
            <w:r>
              <w:rPr>
                <w:rFonts w:cs="Arial"/>
                <w:b/>
                <w:bCs/>
                <w:szCs w:val="24"/>
                <w:lang w:val="en-US" w:eastAsia="en-GB"/>
              </w:rPr>
              <w:t>s</w:t>
            </w:r>
          </w:p>
          <w:p w14:paraId="0C4377C7" w14:textId="77777777" w:rsidR="008D3E6E" w:rsidRDefault="008D3E6E" w:rsidP="00292AB4">
            <w:pPr>
              <w:spacing w:line="247" w:lineRule="auto"/>
              <w:ind w:right="141"/>
              <w:rPr>
                <w:rFonts w:cs="Arial"/>
                <w:b/>
                <w:bCs/>
                <w:szCs w:val="24"/>
                <w:lang w:val="en-US" w:eastAsia="en-GB"/>
              </w:rPr>
            </w:pPr>
          </w:p>
          <w:p w14:paraId="1356C890" w14:textId="77777777" w:rsidR="008D3E6E" w:rsidRPr="00B23445" w:rsidRDefault="008D3E6E" w:rsidP="00292AB4">
            <w:pPr>
              <w:spacing w:line="247" w:lineRule="auto"/>
              <w:ind w:right="141"/>
              <w:rPr>
                <w:rFonts w:cs="Arial"/>
                <w:b/>
                <w:bCs/>
                <w:szCs w:val="24"/>
                <w:lang w:val="en-US" w:eastAsia="en-GB"/>
              </w:rPr>
            </w:pPr>
          </w:p>
          <w:p w14:paraId="035909CB" w14:textId="77777777" w:rsidR="008D3E6E" w:rsidRDefault="008D3E6E" w:rsidP="00292AB4">
            <w:pPr>
              <w:spacing w:line="247" w:lineRule="auto"/>
              <w:ind w:right="141"/>
              <w:rPr>
                <w:rFonts w:cs="Arial"/>
                <w:b/>
                <w:bCs/>
                <w:szCs w:val="24"/>
                <w:lang w:val="en-US" w:eastAsia="en-GB"/>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D95D2F" w14:textId="77777777" w:rsidR="008D3E6E" w:rsidRPr="000C6E90" w:rsidRDefault="008D3E6E" w:rsidP="00292AB4">
            <w:pPr>
              <w:pStyle w:val="ListParagraph"/>
              <w:numPr>
                <w:ilvl w:val="0"/>
                <w:numId w:val="14"/>
              </w:numPr>
              <w:spacing w:line="247" w:lineRule="auto"/>
              <w:ind w:left="307" w:right="141" w:hanging="284"/>
              <w:rPr>
                <w:rFonts w:cs="Arial"/>
                <w:szCs w:val="24"/>
                <w:lang w:val="en-US" w:eastAsia="en-GB"/>
              </w:rPr>
            </w:pPr>
            <w:r w:rsidRPr="000C6E90">
              <w:rPr>
                <w:rFonts w:cs="Arial"/>
                <w:szCs w:val="24"/>
                <w:lang w:val="en-US" w:eastAsia="en-GB"/>
              </w:rPr>
              <w:t xml:space="preserve">Processes are in place </w:t>
            </w:r>
            <w:r>
              <w:rPr>
                <w:rFonts w:cs="Arial"/>
                <w:szCs w:val="24"/>
                <w:lang w:val="en-US" w:eastAsia="en-GB"/>
              </w:rPr>
              <w:t xml:space="preserve">such as aligning with the WLA rates and applying care cube </w:t>
            </w:r>
            <w:r w:rsidRPr="000C6E90">
              <w:rPr>
                <w:rFonts w:cs="Arial"/>
                <w:szCs w:val="24"/>
                <w:lang w:val="en-US" w:eastAsia="en-GB"/>
              </w:rPr>
              <w:t>to agree the cost of new packages</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72D87C88" w14:textId="77777777" w:rsidR="008D3E6E" w:rsidRDefault="008D3E6E" w:rsidP="00292AB4">
            <w:pPr>
              <w:spacing w:line="247" w:lineRule="auto"/>
              <w:ind w:left="171" w:right="141"/>
              <w:jc w:val="center"/>
              <w:rPr>
                <w:rFonts w:cs="Arial"/>
                <w:b/>
                <w:bCs/>
                <w:szCs w:val="24"/>
                <w:lang w:val="en-US" w:eastAsia="en-GB"/>
              </w:rPr>
            </w:pPr>
            <w:r>
              <w:rPr>
                <w:rFonts w:cs="Arial"/>
                <w:b/>
                <w:bCs/>
                <w:szCs w:val="24"/>
                <w:lang w:val="en-US" w:eastAsia="en-GB"/>
              </w:rPr>
              <w:t>AMBER</w:t>
            </w:r>
          </w:p>
        </w:tc>
      </w:tr>
      <w:tr w:rsidR="008D3E6E" w14:paraId="64A50FC5" w14:textId="77777777" w:rsidTr="00292AB4">
        <w:trPr>
          <w:tblHeader/>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EAE45BA" w14:textId="77777777" w:rsidR="008D3E6E" w:rsidRPr="00467820" w:rsidRDefault="008D3E6E" w:rsidP="00292AB4">
            <w:pPr>
              <w:spacing w:line="247" w:lineRule="auto"/>
              <w:ind w:right="141"/>
              <w:rPr>
                <w:rFonts w:cs="Arial"/>
                <w:b/>
                <w:bCs/>
                <w:szCs w:val="24"/>
                <w:lang w:val="en-US" w:eastAsia="en-GB"/>
              </w:rPr>
            </w:pPr>
            <w:r>
              <w:br w:type="page"/>
            </w:r>
            <w:r w:rsidRPr="00467820">
              <w:rPr>
                <w:rFonts w:cs="Arial"/>
                <w:b/>
                <w:bCs/>
                <w:szCs w:val="24"/>
                <w:lang w:val="en-US" w:eastAsia="en-GB"/>
              </w:rPr>
              <w:t>Care quality</w:t>
            </w:r>
            <w:r>
              <w:rPr>
                <w:rFonts w:cs="Arial"/>
                <w:b/>
                <w:bCs/>
                <w:szCs w:val="24"/>
                <w:lang w:val="en-US" w:eastAsia="en-GB"/>
              </w:rPr>
              <w:t xml:space="preserve"> decreases </w:t>
            </w:r>
            <w:proofErr w:type="gramStart"/>
            <w:r>
              <w:rPr>
                <w:rFonts w:cs="Arial"/>
                <w:b/>
                <w:bCs/>
                <w:szCs w:val="24"/>
                <w:lang w:val="en-US" w:eastAsia="en-GB"/>
              </w:rPr>
              <w:t>as a result of</w:t>
            </w:r>
            <w:proofErr w:type="gramEnd"/>
            <w:r>
              <w:rPr>
                <w:rFonts w:cs="Arial"/>
                <w:b/>
                <w:bCs/>
                <w:szCs w:val="24"/>
                <w:lang w:val="en-US" w:eastAsia="en-GB"/>
              </w:rPr>
              <w:t xml:space="preserve"> the level of the uplifts </w:t>
            </w:r>
          </w:p>
          <w:p w14:paraId="2EB5DB7F" w14:textId="77777777" w:rsidR="008D3E6E" w:rsidRPr="00467820" w:rsidRDefault="008D3E6E" w:rsidP="00292AB4">
            <w:pPr>
              <w:spacing w:line="247" w:lineRule="auto"/>
              <w:ind w:right="141"/>
              <w:rPr>
                <w:rFonts w:cs="Arial"/>
                <w:b/>
                <w:bCs/>
                <w:szCs w:val="24"/>
                <w:lang w:val="en-US" w:eastAsia="en-GB"/>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1B25268" w14:textId="77777777" w:rsidR="008D3E6E" w:rsidRPr="00266EAD" w:rsidRDefault="008D3E6E" w:rsidP="00292AB4">
            <w:pPr>
              <w:pStyle w:val="ListParagraph"/>
              <w:numPr>
                <w:ilvl w:val="0"/>
                <w:numId w:val="14"/>
              </w:numPr>
              <w:spacing w:line="247" w:lineRule="auto"/>
              <w:ind w:left="307" w:right="141" w:hanging="284"/>
              <w:rPr>
                <w:rFonts w:cs="Arial"/>
                <w:szCs w:val="24"/>
                <w:lang w:val="en-US" w:eastAsia="en-GB"/>
              </w:rPr>
            </w:pPr>
            <w:r>
              <w:rPr>
                <w:rFonts w:cs="Arial"/>
                <w:szCs w:val="24"/>
                <w:lang w:val="en-US" w:eastAsia="en-GB"/>
              </w:rPr>
              <w:t>The c</w:t>
            </w:r>
            <w:r w:rsidRPr="00266EAD">
              <w:rPr>
                <w:rFonts w:cs="Arial"/>
                <w:szCs w:val="24"/>
                <w:lang w:val="en-US" w:eastAsia="en-GB"/>
              </w:rPr>
              <w:t>ommitment to increase by 7% over three years and an additional one</w:t>
            </w:r>
            <w:r>
              <w:rPr>
                <w:rFonts w:cs="Arial"/>
                <w:szCs w:val="24"/>
                <w:lang w:val="en-US" w:eastAsia="en-GB"/>
              </w:rPr>
              <w:t>-</w:t>
            </w:r>
            <w:r w:rsidRPr="00266EAD">
              <w:rPr>
                <w:rFonts w:cs="Arial"/>
                <w:szCs w:val="24"/>
                <w:lang w:val="en-US" w:eastAsia="en-GB"/>
              </w:rPr>
              <w:t>off payment for 23/24</w:t>
            </w:r>
            <w:r>
              <w:rPr>
                <w:rFonts w:cs="Arial"/>
                <w:szCs w:val="24"/>
                <w:lang w:val="en-US" w:eastAsia="en-GB"/>
              </w:rPr>
              <w:t xml:space="preserve"> will support providers to maintain and improve quality </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01102D43" w14:textId="77777777" w:rsidR="008D3E6E" w:rsidRPr="00467820" w:rsidRDefault="008D3E6E" w:rsidP="00292AB4">
            <w:pPr>
              <w:spacing w:line="247" w:lineRule="auto"/>
              <w:ind w:left="171" w:right="141"/>
              <w:jc w:val="center"/>
              <w:rPr>
                <w:rFonts w:cs="Arial"/>
                <w:b/>
                <w:bCs/>
                <w:szCs w:val="24"/>
                <w:lang w:val="en-US" w:eastAsia="en-GB"/>
              </w:rPr>
            </w:pPr>
            <w:r>
              <w:rPr>
                <w:rFonts w:cs="Arial"/>
                <w:b/>
                <w:bCs/>
                <w:szCs w:val="24"/>
                <w:lang w:val="en-US" w:eastAsia="en-GB"/>
              </w:rPr>
              <w:t>AMBER</w:t>
            </w:r>
          </w:p>
        </w:tc>
      </w:tr>
      <w:tr w:rsidR="008D3E6E" w14:paraId="3D10EE50" w14:textId="77777777" w:rsidTr="00292AB4">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5AEDC2" w14:textId="77777777" w:rsidR="008D3E6E" w:rsidRPr="00E729CB" w:rsidRDefault="008D3E6E" w:rsidP="00292AB4">
            <w:pPr>
              <w:spacing w:line="247" w:lineRule="auto"/>
              <w:ind w:right="141"/>
              <w:rPr>
                <w:rFonts w:cs="Arial"/>
                <w:b/>
                <w:bCs/>
                <w:szCs w:val="24"/>
                <w:lang w:val="en-US" w:eastAsia="en-GB"/>
              </w:rPr>
            </w:pPr>
            <w:r>
              <w:rPr>
                <w:rFonts w:cs="Arial"/>
                <w:b/>
                <w:bCs/>
                <w:szCs w:val="24"/>
                <w:lang w:val="en-US" w:eastAsia="en-GB"/>
              </w:rPr>
              <w:t>R</w:t>
            </w:r>
            <w:r w:rsidRPr="00467820">
              <w:rPr>
                <w:rFonts w:cs="Arial"/>
                <w:b/>
                <w:bCs/>
                <w:szCs w:val="24"/>
                <w:lang w:val="en-US" w:eastAsia="en-GB"/>
              </w:rPr>
              <w:t xml:space="preserve">eputational damage to the </w:t>
            </w:r>
            <w:r>
              <w:rPr>
                <w:rFonts w:cs="Arial"/>
                <w:b/>
                <w:bCs/>
                <w:szCs w:val="24"/>
                <w:lang w:val="en-US" w:eastAsia="en-GB"/>
              </w:rPr>
              <w:t>C</w:t>
            </w:r>
            <w:r w:rsidRPr="00467820">
              <w:rPr>
                <w:rFonts w:cs="Arial"/>
                <w:b/>
                <w:bCs/>
                <w:szCs w:val="24"/>
                <w:lang w:val="en-US" w:eastAsia="en-GB"/>
              </w:rPr>
              <w:t xml:space="preserve">ouncil </w:t>
            </w:r>
            <w:r>
              <w:rPr>
                <w:rFonts w:cs="Arial"/>
                <w:b/>
                <w:bCs/>
                <w:szCs w:val="24"/>
                <w:lang w:val="en-US" w:eastAsia="en-GB"/>
              </w:rPr>
              <w:t xml:space="preserve">arising from the level of uplifts offered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5FEDB6" w14:textId="77777777" w:rsidR="008D3E6E" w:rsidRPr="000C6E90" w:rsidRDefault="008D3E6E" w:rsidP="00292AB4">
            <w:pPr>
              <w:pStyle w:val="ListParagraph"/>
              <w:numPr>
                <w:ilvl w:val="0"/>
                <w:numId w:val="15"/>
              </w:numPr>
              <w:suppressAutoHyphens/>
              <w:autoSpaceDN w:val="0"/>
              <w:spacing w:line="247" w:lineRule="auto"/>
              <w:ind w:left="307" w:right="141" w:hanging="284"/>
              <w:rPr>
                <w:rFonts w:cs="Arial"/>
                <w:szCs w:val="24"/>
              </w:rPr>
            </w:pPr>
            <w:r w:rsidRPr="000C6E90">
              <w:rPr>
                <w:rFonts w:cs="Arial"/>
                <w:szCs w:val="24"/>
              </w:rPr>
              <w:t xml:space="preserve">Commitment to increase by 7% over three years and an additional </w:t>
            </w:r>
            <w:proofErr w:type="gramStart"/>
            <w:r w:rsidRPr="000C6E90">
              <w:rPr>
                <w:rFonts w:cs="Arial"/>
                <w:szCs w:val="24"/>
              </w:rPr>
              <w:t>one off</w:t>
            </w:r>
            <w:proofErr w:type="gramEnd"/>
            <w:r w:rsidRPr="000C6E90">
              <w:rPr>
                <w:rFonts w:cs="Arial"/>
                <w:szCs w:val="24"/>
              </w:rPr>
              <w:t xml:space="preserve"> payment for 23/24.</w:t>
            </w:r>
          </w:p>
          <w:p w14:paraId="2D2F4ED6" w14:textId="77777777" w:rsidR="008D3E6E" w:rsidRPr="000C6E90" w:rsidRDefault="008D3E6E" w:rsidP="00292AB4">
            <w:pPr>
              <w:pStyle w:val="ListParagraph"/>
              <w:numPr>
                <w:ilvl w:val="0"/>
                <w:numId w:val="1"/>
              </w:numPr>
              <w:suppressAutoHyphens/>
              <w:autoSpaceDN w:val="0"/>
              <w:spacing w:line="247" w:lineRule="auto"/>
              <w:ind w:left="307" w:right="141" w:hanging="307"/>
              <w:rPr>
                <w:szCs w:val="24"/>
                <w:lang w:val="en-US"/>
              </w:rPr>
            </w:pPr>
            <w:r w:rsidRPr="000C6E90">
              <w:rPr>
                <w:rFonts w:cs="Arial"/>
                <w:szCs w:val="24"/>
                <w:lang w:val="en-US" w:eastAsia="en-GB"/>
              </w:rPr>
              <w:t>Communication with the market and implementation timetable.</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0AF03AEB" w14:textId="77777777" w:rsidR="008D3E6E" w:rsidRDefault="008D3E6E" w:rsidP="00292AB4">
            <w:pPr>
              <w:spacing w:line="247" w:lineRule="auto"/>
              <w:ind w:right="141"/>
              <w:jc w:val="center"/>
              <w:rPr>
                <w:rFonts w:cs="Arial"/>
                <w:szCs w:val="24"/>
                <w:lang w:val="en-US" w:eastAsia="en-GB"/>
              </w:rPr>
            </w:pPr>
            <w:r>
              <w:rPr>
                <w:rFonts w:cs="Arial"/>
                <w:b/>
                <w:bCs/>
                <w:szCs w:val="24"/>
                <w:lang w:val="en-US" w:eastAsia="en-GB"/>
              </w:rPr>
              <w:t>AMBER</w:t>
            </w:r>
          </w:p>
        </w:tc>
      </w:tr>
    </w:tbl>
    <w:bookmarkEnd w:id="0"/>
    <w:bookmarkEnd w:id="1"/>
    <w:bookmarkEnd w:id="2"/>
    <w:p w14:paraId="0249BBDB" w14:textId="02A38157" w:rsidR="002A3FEF" w:rsidRDefault="002A3FEF" w:rsidP="00A1211C">
      <w:pPr>
        <w:pStyle w:val="Heading3"/>
        <w:spacing w:before="480" w:after="240"/>
      </w:pPr>
      <w:r>
        <w:t>Procurement Implications</w:t>
      </w:r>
    </w:p>
    <w:p w14:paraId="088A7F45" w14:textId="3C54C508" w:rsidR="002A3FEF" w:rsidRPr="003E4C35" w:rsidRDefault="003E4C35">
      <w:pPr>
        <w:pStyle w:val="ListParagraph"/>
        <w:numPr>
          <w:ilvl w:val="0"/>
          <w:numId w:val="16"/>
        </w:numPr>
        <w:spacing w:before="240"/>
        <w:ind w:left="567" w:hanging="567"/>
      </w:pPr>
      <w:r>
        <w:t xml:space="preserve">There are no procurement implications for this report. </w:t>
      </w:r>
    </w:p>
    <w:p w14:paraId="54A59BC6" w14:textId="77777777" w:rsidR="00D23061" w:rsidRDefault="00D23061" w:rsidP="00A1211C">
      <w:pPr>
        <w:pStyle w:val="Heading3"/>
        <w:spacing w:before="480" w:after="240"/>
      </w:pPr>
    </w:p>
    <w:p w14:paraId="2AFDD6A4" w14:textId="77777777" w:rsidR="00D23061" w:rsidRDefault="00D23061" w:rsidP="00A1211C">
      <w:pPr>
        <w:pStyle w:val="Heading3"/>
        <w:spacing w:before="480" w:after="240"/>
      </w:pPr>
    </w:p>
    <w:p w14:paraId="44413A6E" w14:textId="7055E9F9" w:rsidR="00333FAA" w:rsidRDefault="00333FAA" w:rsidP="00A1211C">
      <w:pPr>
        <w:pStyle w:val="Heading3"/>
        <w:spacing w:before="480" w:after="240"/>
      </w:pPr>
      <w:r>
        <w:t>Legal Implications</w:t>
      </w:r>
    </w:p>
    <w:p w14:paraId="086FAF25" w14:textId="3D393C81" w:rsidR="00BA54A9" w:rsidRPr="00343FB0" w:rsidRDefault="00BA54A9" w:rsidP="00BA54A9">
      <w:pPr>
        <w:pStyle w:val="ListParagraph"/>
        <w:numPr>
          <w:ilvl w:val="0"/>
          <w:numId w:val="16"/>
        </w:numPr>
        <w:ind w:left="567" w:hanging="567"/>
        <w:rPr>
          <w:rFonts w:cs="Arial"/>
          <w:sz w:val="22"/>
        </w:rPr>
      </w:pPr>
      <w:r>
        <w:t xml:space="preserve">Under s5 of the Care act 2014, local authorities have a duty to promote the efficient and effective operation of a market in services for meeting care and support needs. </w:t>
      </w:r>
    </w:p>
    <w:p w14:paraId="57D2FCE0" w14:textId="77777777" w:rsidR="00343FB0" w:rsidRPr="00BA54A9" w:rsidRDefault="00343FB0" w:rsidP="00343FB0">
      <w:pPr>
        <w:pStyle w:val="ListParagraph"/>
        <w:ind w:left="567"/>
        <w:rPr>
          <w:rFonts w:cs="Arial"/>
          <w:sz w:val="22"/>
        </w:rPr>
      </w:pPr>
    </w:p>
    <w:p w14:paraId="3F9EC388" w14:textId="7F842221" w:rsidR="00BA54A9" w:rsidRDefault="00BA54A9" w:rsidP="00BA54A9">
      <w:pPr>
        <w:pStyle w:val="ListParagraph"/>
        <w:numPr>
          <w:ilvl w:val="0"/>
          <w:numId w:val="16"/>
        </w:numPr>
        <w:ind w:left="567" w:hanging="567"/>
      </w:pPr>
      <w:r>
        <w:t>The statutory Guidance(the Care and Support Guidance) provides that Local authorities should consider the contract arrangements they make with providers to deliver services, including the range of block contracts, framework agreements, spot contracting or ‘any qualified provider’ approaches, to ensure that the approaches chosen do not have negative impacts on the sustainability, sufficiency, quality, diversity and value for money of the market as a whole – the pool of providers able to deliver services of appropriate quality.</w:t>
      </w:r>
    </w:p>
    <w:p w14:paraId="7414BE61" w14:textId="77777777" w:rsidR="00BA54A9" w:rsidRDefault="00BA54A9" w:rsidP="00BA54A9">
      <w:pPr>
        <w:pStyle w:val="ListParagraph"/>
        <w:ind w:left="567"/>
      </w:pPr>
    </w:p>
    <w:p w14:paraId="48C00EE0" w14:textId="77777777" w:rsidR="00BA54A9" w:rsidRDefault="00BA54A9" w:rsidP="00BA54A9">
      <w:pPr>
        <w:pStyle w:val="ListParagraph"/>
        <w:numPr>
          <w:ilvl w:val="0"/>
          <w:numId w:val="16"/>
        </w:numPr>
        <w:ind w:left="567" w:hanging="567"/>
      </w:pPr>
      <w:r>
        <w:t>The decision-making process should demonstrate that consideration of the Guidance and knowledge of the local market had been part of the decision-making process.</w:t>
      </w:r>
    </w:p>
    <w:p w14:paraId="52CD7287" w14:textId="77777777" w:rsidR="00D53759" w:rsidRPr="00242877" w:rsidRDefault="00D53759" w:rsidP="00D53759"/>
    <w:p w14:paraId="3810E249" w14:textId="2EAF7D89" w:rsidR="00E2227D" w:rsidRDefault="00E2227D" w:rsidP="00E2227D">
      <w:pPr>
        <w:rPr>
          <w:rFonts w:cs="Arial"/>
          <w:b/>
          <w:bCs/>
          <w:sz w:val="28"/>
          <w:szCs w:val="28"/>
        </w:rPr>
      </w:pPr>
      <w:r w:rsidRPr="00D53759">
        <w:rPr>
          <w:rFonts w:cs="Arial"/>
          <w:b/>
          <w:bCs/>
          <w:sz w:val="28"/>
          <w:szCs w:val="28"/>
        </w:rPr>
        <w:t>Financial Implications</w:t>
      </w:r>
    </w:p>
    <w:p w14:paraId="1D6FB81B" w14:textId="77777777" w:rsidR="00D53759" w:rsidRPr="00D53759" w:rsidRDefault="00D53759" w:rsidP="00E2227D">
      <w:pPr>
        <w:rPr>
          <w:rFonts w:cs="Arial"/>
          <w:b/>
          <w:bCs/>
          <w:sz w:val="28"/>
          <w:szCs w:val="28"/>
        </w:rPr>
      </w:pPr>
    </w:p>
    <w:p w14:paraId="75BDF608" w14:textId="77777777" w:rsidR="00543491" w:rsidRDefault="00E2227D">
      <w:pPr>
        <w:pStyle w:val="ListParagraph"/>
        <w:numPr>
          <w:ilvl w:val="0"/>
          <w:numId w:val="16"/>
        </w:numPr>
        <w:ind w:left="567" w:hanging="567"/>
        <w:rPr>
          <w:rFonts w:cs="Arial"/>
          <w:szCs w:val="24"/>
        </w:rPr>
      </w:pPr>
      <w:r w:rsidRPr="00242877">
        <w:rPr>
          <w:rFonts w:cs="Arial"/>
          <w:szCs w:val="24"/>
        </w:rPr>
        <w:t>The 7% inflationary up-lift over three years has been modelled to ensure that it remains with the financial envelope within the MTFS</w:t>
      </w:r>
      <w:r w:rsidR="00543491">
        <w:rPr>
          <w:rFonts w:cs="Arial"/>
          <w:szCs w:val="24"/>
        </w:rPr>
        <w:t xml:space="preserve"> of £6.196m</w:t>
      </w:r>
      <w:r w:rsidRPr="00242877">
        <w:rPr>
          <w:rFonts w:cs="Arial"/>
          <w:szCs w:val="24"/>
        </w:rPr>
        <w:t xml:space="preserve">. </w:t>
      </w:r>
    </w:p>
    <w:p w14:paraId="17464BC2" w14:textId="77777777" w:rsidR="00543491" w:rsidRDefault="00543491" w:rsidP="00A0308E">
      <w:pPr>
        <w:pStyle w:val="ListParagraph"/>
        <w:ind w:left="567"/>
        <w:rPr>
          <w:rFonts w:cs="Arial"/>
          <w:szCs w:val="24"/>
        </w:rPr>
      </w:pPr>
    </w:p>
    <w:p w14:paraId="7AC5EB66" w14:textId="4F31DB4C" w:rsidR="00E2227D" w:rsidRPr="00242877" w:rsidRDefault="00E2227D">
      <w:pPr>
        <w:pStyle w:val="ListParagraph"/>
        <w:numPr>
          <w:ilvl w:val="0"/>
          <w:numId w:val="16"/>
        </w:numPr>
        <w:ind w:left="567" w:hanging="567"/>
        <w:rPr>
          <w:rFonts w:cs="Arial"/>
          <w:szCs w:val="24"/>
        </w:rPr>
      </w:pPr>
      <w:r w:rsidRPr="00242877">
        <w:rPr>
          <w:rFonts w:cs="Arial"/>
          <w:szCs w:val="24"/>
        </w:rPr>
        <w:t>Using the cost of all open packages at the end of March 2023 as the baseline the</w:t>
      </w:r>
      <w:r w:rsidR="00543491">
        <w:rPr>
          <w:rFonts w:cs="Arial"/>
          <w:szCs w:val="24"/>
        </w:rPr>
        <w:t xml:space="preserve"> ongoing</w:t>
      </w:r>
      <w:r w:rsidRPr="00242877">
        <w:rPr>
          <w:rFonts w:cs="Arial"/>
          <w:szCs w:val="24"/>
        </w:rPr>
        <w:t xml:space="preserve"> allocations </w:t>
      </w:r>
      <w:r w:rsidR="00543491">
        <w:rPr>
          <w:rFonts w:cs="Arial"/>
          <w:szCs w:val="24"/>
        </w:rPr>
        <w:t xml:space="preserve">and uplift percentages </w:t>
      </w:r>
      <w:r w:rsidRPr="00242877">
        <w:rPr>
          <w:rFonts w:cs="Arial"/>
          <w:szCs w:val="24"/>
        </w:rPr>
        <w:t>are summarised in the table below:</w:t>
      </w:r>
    </w:p>
    <w:p w14:paraId="4BA3A25D" w14:textId="6D3F9587" w:rsidR="00D53759" w:rsidRDefault="00D53759" w:rsidP="00E2227D">
      <w:pPr>
        <w:rPr>
          <w:rFonts w:cs="Arial"/>
          <w:szCs w:val="24"/>
        </w:rPr>
      </w:pPr>
    </w:p>
    <w:p w14:paraId="3B5841B9" w14:textId="77777777" w:rsidR="00A0308E" w:rsidRDefault="00A0308E" w:rsidP="00E2227D">
      <w:pPr>
        <w:rPr>
          <w:rFonts w:cs="Arial"/>
          <w:szCs w:val="24"/>
        </w:rPr>
      </w:pPr>
    </w:p>
    <w:tbl>
      <w:tblPr>
        <w:tblW w:w="5617" w:type="dxa"/>
        <w:tblInd w:w="1134" w:type="dxa"/>
        <w:tblLook w:val="04A0" w:firstRow="1" w:lastRow="0" w:firstColumn="1" w:lastColumn="0" w:noHBand="0" w:noVBand="1"/>
      </w:tblPr>
      <w:tblGrid>
        <w:gridCol w:w="1220"/>
        <w:gridCol w:w="1615"/>
        <w:gridCol w:w="1562"/>
        <w:gridCol w:w="1220"/>
      </w:tblGrid>
      <w:tr w:rsidR="005A1004" w:rsidRPr="005A1004" w14:paraId="1D50492A" w14:textId="77777777" w:rsidTr="00343FB0">
        <w:trPr>
          <w:trHeight w:val="290"/>
        </w:trPr>
        <w:tc>
          <w:tcPr>
            <w:tcW w:w="1220" w:type="dxa"/>
            <w:tcBorders>
              <w:top w:val="nil"/>
              <w:left w:val="nil"/>
              <w:bottom w:val="nil"/>
              <w:right w:val="nil"/>
            </w:tcBorders>
            <w:shd w:val="clear" w:color="auto" w:fill="auto"/>
            <w:noWrap/>
            <w:vAlign w:val="bottom"/>
            <w:hideMark/>
          </w:tcPr>
          <w:p w14:paraId="2401E4F1" w14:textId="77777777" w:rsidR="005A1004" w:rsidRPr="005A1004" w:rsidRDefault="005A1004" w:rsidP="00343FB0">
            <w:pPr>
              <w:jc w:val="center"/>
              <w:rPr>
                <w:rFonts w:cs="Arial"/>
                <w:b/>
                <w:bCs/>
                <w:color w:val="000000"/>
                <w:sz w:val="20"/>
                <w:lang w:eastAsia="en-GB"/>
              </w:rPr>
            </w:pPr>
            <w:r w:rsidRPr="005A1004">
              <w:rPr>
                <w:rFonts w:cs="Arial"/>
                <w:b/>
                <w:bCs/>
                <w:color w:val="000000"/>
                <w:sz w:val="20"/>
                <w:lang w:eastAsia="en-GB"/>
              </w:rPr>
              <w:t>Year</w:t>
            </w:r>
          </w:p>
        </w:tc>
        <w:tc>
          <w:tcPr>
            <w:tcW w:w="1615" w:type="dxa"/>
            <w:tcBorders>
              <w:top w:val="nil"/>
              <w:left w:val="nil"/>
              <w:bottom w:val="nil"/>
              <w:right w:val="nil"/>
            </w:tcBorders>
            <w:shd w:val="clear" w:color="auto" w:fill="auto"/>
            <w:noWrap/>
            <w:vAlign w:val="bottom"/>
            <w:hideMark/>
          </w:tcPr>
          <w:p w14:paraId="77B8BB5A" w14:textId="77777777" w:rsidR="005A1004" w:rsidRPr="005A1004" w:rsidRDefault="005A1004" w:rsidP="00343FB0">
            <w:pPr>
              <w:jc w:val="center"/>
              <w:rPr>
                <w:rFonts w:cs="Arial"/>
                <w:b/>
                <w:bCs/>
                <w:color w:val="000000"/>
                <w:sz w:val="20"/>
                <w:lang w:eastAsia="en-GB"/>
              </w:rPr>
            </w:pPr>
            <w:r w:rsidRPr="005A1004">
              <w:rPr>
                <w:rFonts w:cs="Arial"/>
                <w:b/>
                <w:bCs/>
                <w:color w:val="000000"/>
                <w:sz w:val="20"/>
                <w:lang w:eastAsia="en-GB"/>
              </w:rPr>
              <w:t>Care Costs</w:t>
            </w:r>
          </w:p>
        </w:tc>
        <w:tc>
          <w:tcPr>
            <w:tcW w:w="1562" w:type="dxa"/>
            <w:tcBorders>
              <w:top w:val="nil"/>
              <w:left w:val="nil"/>
              <w:bottom w:val="nil"/>
              <w:right w:val="nil"/>
            </w:tcBorders>
            <w:shd w:val="clear" w:color="auto" w:fill="auto"/>
            <w:vAlign w:val="bottom"/>
            <w:hideMark/>
          </w:tcPr>
          <w:p w14:paraId="04F868AE" w14:textId="77777777" w:rsidR="005A1004" w:rsidRPr="005A1004" w:rsidRDefault="005A1004" w:rsidP="00343FB0">
            <w:pPr>
              <w:jc w:val="center"/>
              <w:rPr>
                <w:rFonts w:cs="Arial"/>
                <w:b/>
                <w:bCs/>
                <w:color w:val="000000"/>
                <w:sz w:val="20"/>
                <w:lang w:eastAsia="en-GB"/>
              </w:rPr>
            </w:pPr>
            <w:r w:rsidRPr="005A1004">
              <w:rPr>
                <w:rFonts w:cs="Arial"/>
                <w:b/>
                <w:bCs/>
                <w:color w:val="000000"/>
                <w:sz w:val="20"/>
                <w:lang w:eastAsia="en-GB"/>
              </w:rPr>
              <w:t>Inflation</w:t>
            </w:r>
          </w:p>
        </w:tc>
        <w:tc>
          <w:tcPr>
            <w:tcW w:w="1220" w:type="dxa"/>
            <w:tcBorders>
              <w:top w:val="nil"/>
              <w:left w:val="nil"/>
              <w:bottom w:val="nil"/>
              <w:right w:val="nil"/>
            </w:tcBorders>
            <w:shd w:val="clear" w:color="auto" w:fill="auto"/>
            <w:noWrap/>
            <w:vAlign w:val="bottom"/>
            <w:hideMark/>
          </w:tcPr>
          <w:p w14:paraId="48D48DCA" w14:textId="77777777" w:rsidR="005A1004" w:rsidRPr="005A1004" w:rsidRDefault="005A1004" w:rsidP="00343FB0">
            <w:pPr>
              <w:jc w:val="center"/>
              <w:rPr>
                <w:rFonts w:cs="Arial"/>
                <w:b/>
                <w:bCs/>
                <w:color w:val="000000"/>
                <w:sz w:val="20"/>
                <w:lang w:eastAsia="en-GB"/>
              </w:rPr>
            </w:pPr>
            <w:r w:rsidRPr="005A1004">
              <w:rPr>
                <w:rFonts w:cs="Arial"/>
                <w:b/>
                <w:bCs/>
                <w:color w:val="000000"/>
                <w:sz w:val="20"/>
                <w:lang w:eastAsia="en-GB"/>
              </w:rPr>
              <w:t>Rate</w:t>
            </w:r>
          </w:p>
        </w:tc>
      </w:tr>
      <w:tr w:rsidR="005A1004" w:rsidRPr="005A1004" w14:paraId="18FAF5BB" w14:textId="77777777" w:rsidTr="00343FB0">
        <w:trPr>
          <w:trHeight w:val="290"/>
        </w:trPr>
        <w:tc>
          <w:tcPr>
            <w:tcW w:w="1220" w:type="dxa"/>
            <w:tcBorders>
              <w:top w:val="nil"/>
              <w:left w:val="nil"/>
              <w:bottom w:val="nil"/>
              <w:right w:val="nil"/>
            </w:tcBorders>
            <w:shd w:val="clear" w:color="auto" w:fill="auto"/>
            <w:noWrap/>
            <w:vAlign w:val="bottom"/>
            <w:hideMark/>
          </w:tcPr>
          <w:p w14:paraId="2C138E60" w14:textId="77777777" w:rsidR="005A1004" w:rsidRPr="005A1004" w:rsidRDefault="005A1004" w:rsidP="00343FB0">
            <w:pPr>
              <w:rPr>
                <w:rFonts w:cs="Arial"/>
                <w:color w:val="000000"/>
                <w:sz w:val="20"/>
                <w:lang w:eastAsia="en-GB"/>
              </w:rPr>
            </w:pPr>
            <w:r w:rsidRPr="005A1004">
              <w:rPr>
                <w:rFonts w:cs="Arial"/>
                <w:color w:val="000000"/>
                <w:sz w:val="20"/>
                <w:lang w:eastAsia="en-GB"/>
              </w:rPr>
              <w:t>2023-24</w:t>
            </w:r>
          </w:p>
        </w:tc>
        <w:tc>
          <w:tcPr>
            <w:tcW w:w="1615" w:type="dxa"/>
            <w:tcBorders>
              <w:top w:val="nil"/>
              <w:left w:val="nil"/>
              <w:bottom w:val="nil"/>
              <w:right w:val="nil"/>
            </w:tcBorders>
            <w:shd w:val="clear" w:color="auto" w:fill="auto"/>
            <w:noWrap/>
            <w:vAlign w:val="bottom"/>
            <w:hideMark/>
          </w:tcPr>
          <w:p w14:paraId="0549C29C" w14:textId="77777777" w:rsidR="005A1004" w:rsidRPr="005A1004" w:rsidRDefault="005A1004" w:rsidP="00343FB0">
            <w:pPr>
              <w:jc w:val="center"/>
              <w:rPr>
                <w:rFonts w:cs="Arial"/>
                <w:color w:val="000000"/>
                <w:sz w:val="20"/>
                <w:lang w:eastAsia="en-GB"/>
              </w:rPr>
            </w:pPr>
            <w:r w:rsidRPr="005A1004">
              <w:rPr>
                <w:rFonts w:cs="Arial"/>
                <w:color w:val="000000"/>
                <w:sz w:val="20"/>
                <w:lang w:eastAsia="en-GB"/>
              </w:rPr>
              <w:t>£83,975,630</w:t>
            </w:r>
          </w:p>
        </w:tc>
        <w:tc>
          <w:tcPr>
            <w:tcW w:w="1562" w:type="dxa"/>
            <w:tcBorders>
              <w:top w:val="nil"/>
              <w:left w:val="nil"/>
              <w:bottom w:val="nil"/>
              <w:right w:val="nil"/>
            </w:tcBorders>
            <w:shd w:val="clear" w:color="auto" w:fill="auto"/>
            <w:noWrap/>
            <w:vAlign w:val="bottom"/>
            <w:hideMark/>
          </w:tcPr>
          <w:p w14:paraId="79BB83F4" w14:textId="77777777" w:rsidR="005A1004" w:rsidRPr="005A1004" w:rsidRDefault="005A1004" w:rsidP="00343FB0">
            <w:pPr>
              <w:jc w:val="center"/>
              <w:rPr>
                <w:rFonts w:cs="Arial"/>
                <w:color w:val="000000"/>
                <w:sz w:val="20"/>
                <w:lang w:eastAsia="en-GB"/>
              </w:rPr>
            </w:pPr>
            <w:r w:rsidRPr="005A1004">
              <w:rPr>
                <w:rFonts w:cs="Arial"/>
                <w:color w:val="000000"/>
                <w:sz w:val="20"/>
                <w:lang w:eastAsia="en-GB"/>
              </w:rPr>
              <w:t>£2,307,342</w:t>
            </w:r>
          </w:p>
        </w:tc>
        <w:tc>
          <w:tcPr>
            <w:tcW w:w="1220" w:type="dxa"/>
            <w:tcBorders>
              <w:top w:val="nil"/>
              <w:left w:val="nil"/>
              <w:bottom w:val="nil"/>
              <w:right w:val="nil"/>
            </w:tcBorders>
            <w:shd w:val="clear" w:color="auto" w:fill="auto"/>
            <w:noWrap/>
            <w:vAlign w:val="bottom"/>
            <w:hideMark/>
          </w:tcPr>
          <w:p w14:paraId="29C22B11" w14:textId="77777777" w:rsidR="005A1004" w:rsidRPr="005A1004" w:rsidRDefault="005A1004" w:rsidP="00343FB0">
            <w:pPr>
              <w:jc w:val="center"/>
              <w:rPr>
                <w:rFonts w:cs="Arial"/>
                <w:color w:val="000000"/>
                <w:sz w:val="20"/>
                <w:lang w:eastAsia="en-GB"/>
              </w:rPr>
            </w:pPr>
            <w:r w:rsidRPr="005A1004">
              <w:rPr>
                <w:rFonts w:cs="Arial"/>
                <w:color w:val="000000"/>
                <w:sz w:val="20"/>
                <w:lang w:eastAsia="en-GB"/>
              </w:rPr>
              <w:t>2.70%</w:t>
            </w:r>
          </w:p>
        </w:tc>
      </w:tr>
      <w:tr w:rsidR="005A1004" w:rsidRPr="005A1004" w14:paraId="7EEFA2AE" w14:textId="77777777" w:rsidTr="00343FB0">
        <w:trPr>
          <w:trHeight w:val="290"/>
        </w:trPr>
        <w:tc>
          <w:tcPr>
            <w:tcW w:w="1220" w:type="dxa"/>
            <w:tcBorders>
              <w:top w:val="nil"/>
              <w:left w:val="nil"/>
              <w:bottom w:val="nil"/>
              <w:right w:val="nil"/>
            </w:tcBorders>
            <w:shd w:val="clear" w:color="auto" w:fill="auto"/>
            <w:noWrap/>
            <w:vAlign w:val="bottom"/>
            <w:hideMark/>
          </w:tcPr>
          <w:p w14:paraId="6EB1D681" w14:textId="77777777" w:rsidR="005A1004" w:rsidRPr="005A1004" w:rsidRDefault="005A1004" w:rsidP="00343FB0">
            <w:pPr>
              <w:rPr>
                <w:rFonts w:cs="Arial"/>
                <w:color w:val="000000"/>
                <w:sz w:val="20"/>
                <w:lang w:eastAsia="en-GB"/>
              </w:rPr>
            </w:pPr>
            <w:r w:rsidRPr="005A1004">
              <w:rPr>
                <w:rFonts w:cs="Arial"/>
                <w:color w:val="000000"/>
                <w:sz w:val="20"/>
                <w:lang w:eastAsia="en-GB"/>
              </w:rPr>
              <w:t>2024-25</w:t>
            </w:r>
          </w:p>
        </w:tc>
        <w:tc>
          <w:tcPr>
            <w:tcW w:w="1615" w:type="dxa"/>
            <w:tcBorders>
              <w:top w:val="nil"/>
              <w:left w:val="nil"/>
              <w:bottom w:val="nil"/>
              <w:right w:val="nil"/>
            </w:tcBorders>
            <w:shd w:val="clear" w:color="auto" w:fill="auto"/>
            <w:noWrap/>
            <w:vAlign w:val="bottom"/>
            <w:hideMark/>
          </w:tcPr>
          <w:p w14:paraId="377F0F52" w14:textId="77777777" w:rsidR="005A1004" w:rsidRPr="005A1004" w:rsidRDefault="005A1004" w:rsidP="00343FB0">
            <w:pPr>
              <w:jc w:val="center"/>
              <w:rPr>
                <w:rFonts w:cs="Arial"/>
                <w:color w:val="000000"/>
                <w:sz w:val="20"/>
                <w:lang w:eastAsia="en-GB"/>
              </w:rPr>
            </w:pPr>
            <w:r w:rsidRPr="005A1004">
              <w:rPr>
                <w:rFonts w:cs="Arial"/>
                <w:color w:val="000000"/>
                <w:sz w:val="20"/>
                <w:lang w:eastAsia="en-GB"/>
              </w:rPr>
              <w:t>£86,242,972</w:t>
            </w:r>
          </w:p>
        </w:tc>
        <w:tc>
          <w:tcPr>
            <w:tcW w:w="1562" w:type="dxa"/>
            <w:tcBorders>
              <w:top w:val="nil"/>
              <w:left w:val="nil"/>
              <w:bottom w:val="nil"/>
              <w:right w:val="nil"/>
            </w:tcBorders>
            <w:shd w:val="clear" w:color="auto" w:fill="auto"/>
            <w:noWrap/>
            <w:vAlign w:val="bottom"/>
            <w:hideMark/>
          </w:tcPr>
          <w:p w14:paraId="207B8B64" w14:textId="77777777" w:rsidR="005A1004" w:rsidRPr="005A1004" w:rsidRDefault="005A1004" w:rsidP="00343FB0">
            <w:pPr>
              <w:jc w:val="center"/>
              <w:rPr>
                <w:rFonts w:cs="Arial"/>
                <w:color w:val="000000"/>
                <w:sz w:val="20"/>
                <w:lang w:eastAsia="en-GB"/>
              </w:rPr>
            </w:pPr>
            <w:r w:rsidRPr="005A1004">
              <w:rPr>
                <w:rFonts w:cs="Arial"/>
                <w:color w:val="000000"/>
                <w:sz w:val="20"/>
                <w:lang w:eastAsia="en-GB"/>
              </w:rPr>
              <w:t>£2,066,710</w:t>
            </w:r>
          </w:p>
        </w:tc>
        <w:tc>
          <w:tcPr>
            <w:tcW w:w="1220" w:type="dxa"/>
            <w:tcBorders>
              <w:top w:val="nil"/>
              <w:left w:val="nil"/>
              <w:bottom w:val="nil"/>
              <w:right w:val="nil"/>
            </w:tcBorders>
            <w:shd w:val="clear" w:color="auto" w:fill="auto"/>
            <w:noWrap/>
            <w:vAlign w:val="bottom"/>
            <w:hideMark/>
          </w:tcPr>
          <w:p w14:paraId="3E9F438F" w14:textId="77777777" w:rsidR="005A1004" w:rsidRPr="005A1004" w:rsidRDefault="005A1004" w:rsidP="00343FB0">
            <w:pPr>
              <w:jc w:val="center"/>
              <w:rPr>
                <w:rFonts w:cs="Arial"/>
                <w:color w:val="000000"/>
                <w:sz w:val="20"/>
                <w:lang w:eastAsia="en-GB"/>
              </w:rPr>
            </w:pPr>
            <w:r w:rsidRPr="005A1004">
              <w:rPr>
                <w:rFonts w:cs="Arial"/>
                <w:color w:val="000000"/>
                <w:sz w:val="20"/>
                <w:lang w:eastAsia="en-GB"/>
              </w:rPr>
              <w:t>2.35%</w:t>
            </w:r>
          </w:p>
        </w:tc>
      </w:tr>
      <w:tr w:rsidR="005A1004" w:rsidRPr="005A1004" w14:paraId="4C78858D" w14:textId="77777777" w:rsidTr="00343FB0">
        <w:trPr>
          <w:trHeight w:val="290"/>
        </w:trPr>
        <w:tc>
          <w:tcPr>
            <w:tcW w:w="1220" w:type="dxa"/>
            <w:tcBorders>
              <w:top w:val="nil"/>
              <w:left w:val="nil"/>
              <w:bottom w:val="nil"/>
              <w:right w:val="nil"/>
            </w:tcBorders>
            <w:shd w:val="clear" w:color="auto" w:fill="auto"/>
            <w:noWrap/>
            <w:vAlign w:val="bottom"/>
            <w:hideMark/>
          </w:tcPr>
          <w:p w14:paraId="4A40F654" w14:textId="77777777" w:rsidR="005A1004" w:rsidRPr="005A1004" w:rsidRDefault="005A1004" w:rsidP="00343FB0">
            <w:pPr>
              <w:rPr>
                <w:rFonts w:cs="Arial"/>
                <w:color w:val="000000"/>
                <w:sz w:val="20"/>
                <w:lang w:eastAsia="en-GB"/>
              </w:rPr>
            </w:pPr>
            <w:r w:rsidRPr="005A1004">
              <w:rPr>
                <w:rFonts w:cs="Arial"/>
                <w:color w:val="000000"/>
                <w:sz w:val="20"/>
                <w:lang w:eastAsia="en-GB"/>
              </w:rPr>
              <w:t>2025-26</w:t>
            </w:r>
          </w:p>
        </w:tc>
        <w:tc>
          <w:tcPr>
            <w:tcW w:w="1615" w:type="dxa"/>
            <w:tcBorders>
              <w:top w:val="nil"/>
              <w:left w:val="nil"/>
              <w:bottom w:val="nil"/>
              <w:right w:val="nil"/>
            </w:tcBorders>
            <w:shd w:val="clear" w:color="auto" w:fill="auto"/>
            <w:noWrap/>
            <w:vAlign w:val="bottom"/>
            <w:hideMark/>
          </w:tcPr>
          <w:p w14:paraId="3936DDF1" w14:textId="77777777" w:rsidR="005A1004" w:rsidRPr="005A1004" w:rsidRDefault="005A1004" w:rsidP="00343FB0">
            <w:pPr>
              <w:jc w:val="center"/>
              <w:rPr>
                <w:rFonts w:cs="Arial"/>
                <w:color w:val="000000"/>
                <w:sz w:val="20"/>
                <w:lang w:eastAsia="en-GB"/>
              </w:rPr>
            </w:pPr>
            <w:r w:rsidRPr="005A1004">
              <w:rPr>
                <w:rFonts w:cs="Arial"/>
                <w:color w:val="000000"/>
                <w:sz w:val="20"/>
                <w:lang w:eastAsia="en-GB"/>
              </w:rPr>
              <w:t>£88,269,682</w:t>
            </w:r>
          </w:p>
        </w:tc>
        <w:tc>
          <w:tcPr>
            <w:tcW w:w="1562" w:type="dxa"/>
            <w:tcBorders>
              <w:top w:val="nil"/>
              <w:left w:val="nil"/>
              <w:bottom w:val="nil"/>
              <w:right w:val="nil"/>
            </w:tcBorders>
            <w:shd w:val="clear" w:color="auto" w:fill="auto"/>
            <w:noWrap/>
            <w:vAlign w:val="bottom"/>
            <w:hideMark/>
          </w:tcPr>
          <w:p w14:paraId="08ED2FD6" w14:textId="77777777" w:rsidR="005A1004" w:rsidRPr="005A1004" w:rsidRDefault="005A1004" w:rsidP="00343FB0">
            <w:pPr>
              <w:jc w:val="center"/>
              <w:rPr>
                <w:rFonts w:cs="Arial"/>
                <w:color w:val="000000"/>
                <w:sz w:val="20"/>
                <w:lang w:eastAsia="en-GB"/>
              </w:rPr>
            </w:pPr>
            <w:r w:rsidRPr="005A1004">
              <w:rPr>
                <w:rFonts w:cs="Arial"/>
                <w:color w:val="000000"/>
                <w:sz w:val="20"/>
                <w:lang w:eastAsia="en-GB"/>
              </w:rPr>
              <w:t>£1,805,394</w:t>
            </w:r>
          </w:p>
        </w:tc>
        <w:tc>
          <w:tcPr>
            <w:tcW w:w="1220" w:type="dxa"/>
            <w:tcBorders>
              <w:top w:val="nil"/>
              <w:left w:val="nil"/>
              <w:bottom w:val="nil"/>
              <w:right w:val="nil"/>
            </w:tcBorders>
            <w:shd w:val="clear" w:color="auto" w:fill="auto"/>
            <w:noWrap/>
            <w:vAlign w:val="bottom"/>
            <w:hideMark/>
          </w:tcPr>
          <w:p w14:paraId="0E50CA96" w14:textId="77777777" w:rsidR="005A1004" w:rsidRPr="005A1004" w:rsidRDefault="005A1004" w:rsidP="00343FB0">
            <w:pPr>
              <w:jc w:val="center"/>
              <w:rPr>
                <w:rFonts w:cs="Arial"/>
                <w:color w:val="000000"/>
                <w:sz w:val="20"/>
                <w:lang w:eastAsia="en-GB"/>
              </w:rPr>
            </w:pPr>
            <w:r w:rsidRPr="005A1004">
              <w:rPr>
                <w:rFonts w:cs="Arial"/>
                <w:color w:val="000000"/>
                <w:sz w:val="20"/>
                <w:lang w:eastAsia="en-GB"/>
              </w:rPr>
              <w:t>2.00%</w:t>
            </w:r>
          </w:p>
        </w:tc>
      </w:tr>
      <w:tr w:rsidR="005A1004" w:rsidRPr="005A1004" w14:paraId="35BD099B" w14:textId="77777777" w:rsidTr="00343FB0">
        <w:trPr>
          <w:trHeight w:val="300"/>
        </w:trPr>
        <w:tc>
          <w:tcPr>
            <w:tcW w:w="1220" w:type="dxa"/>
            <w:tcBorders>
              <w:top w:val="nil"/>
              <w:left w:val="nil"/>
              <w:bottom w:val="nil"/>
              <w:right w:val="nil"/>
            </w:tcBorders>
            <w:shd w:val="clear" w:color="auto" w:fill="auto"/>
            <w:noWrap/>
            <w:vAlign w:val="bottom"/>
            <w:hideMark/>
          </w:tcPr>
          <w:p w14:paraId="46A860BE" w14:textId="77777777" w:rsidR="005A1004" w:rsidRPr="005A1004" w:rsidRDefault="005A1004" w:rsidP="005A1004">
            <w:pPr>
              <w:rPr>
                <w:rFonts w:cs="Arial"/>
                <w:color w:val="000000"/>
                <w:sz w:val="20"/>
                <w:lang w:eastAsia="en-GB"/>
              </w:rPr>
            </w:pPr>
          </w:p>
        </w:tc>
        <w:tc>
          <w:tcPr>
            <w:tcW w:w="1615" w:type="dxa"/>
            <w:tcBorders>
              <w:top w:val="nil"/>
              <w:left w:val="nil"/>
              <w:bottom w:val="nil"/>
              <w:right w:val="nil"/>
            </w:tcBorders>
            <w:shd w:val="clear" w:color="auto" w:fill="auto"/>
            <w:noWrap/>
            <w:vAlign w:val="bottom"/>
            <w:hideMark/>
          </w:tcPr>
          <w:p w14:paraId="44942FCA" w14:textId="77777777" w:rsidR="005A1004" w:rsidRPr="005A1004" w:rsidRDefault="005A1004" w:rsidP="005A1004">
            <w:pPr>
              <w:jc w:val="right"/>
              <w:rPr>
                <w:rFonts w:cs="Arial"/>
                <w:b/>
                <w:bCs/>
                <w:color w:val="000000"/>
                <w:sz w:val="20"/>
                <w:lang w:eastAsia="en-GB"/>
              </w:rPr>
            </w:pPr>
            <w:r w:rsidRPr="005A1004">
              <w:rPr>
                <w:rFonts w:cs="Arial"/>
                <w:b/>
                <w:bCs/>
                <w:color w:val="000000"/>
                <w:sz w:val="20"/>
                <w:lang w:eastAsia="en-GB"/>
              </w:rPr>
              <w:t>Total</w:t>
            </w:r>
          </w:p>
        </w:tc>
        <w:tc>
          <w:tcPr>
            <w:tcW w:w="1562" w:type="dxa"/>
            <w:tcBorders>
              <w:top w:val="single" w:sz="4" w:space="0" w:color="auto"/>
              <w:left w:val="nil"/>
              <w:bottom w:val="double" w:sz="6" w:space="0" w:color="auto"/>
              <w:right w:val="nil"/>
            </w:tcBorders>
            <w:shd w:val="clear" w:color="auto" w:fill="auto"/>
            <w:noWrap/>
            <w:vAlign w:val="bottom"/>
            <w:hideMark/>
          </w:tcPr>
          <w:p w14:paraId="03FA3F43" w14:textId="77777777" w:rsidR="005A1004" w:rsidRPr="005A1004" w:rsidRDefault="005A1004" w:rsidP="005A1004">
            <w:pPr>
              <w:jc w:val="right"/>
              <w:rPr>
                <w:rFonts w:cs="Arial"/>
                <w:b/>
                <w:bCs/>
                <w:color w:val="000000"/>
                <w:sz w:val="20"/>
                <w:lang w:eastAsia="en-GB"/>
              </w:rPr>
            </w:pPr>
            <w:r w:rsidRPr="005A1004">
              <w:rPr>
                <w:rFonts w:cs="Arial"/>
                <w:b/>
                <w:bCs/>
                <w:color w:val="000000"/>
                <w:sz w:val="20"/>
                <w:lang w:eastAsia="en-GB"/>
              </w:rPr>
              <w:t>£6,179,445</w:t>
            </w:r>
          </w:p>
        </w:tc>
        <w:tc>
          <w:tcPr>
            <w:tcW w:w="1220" w:type="dxa"/>
            <w:tcBorders>
              <w:top w:val="nil"/>
              <w:left w:val="nil"/>
              <w:bottom w:val="nil"/>
              <w:right w:val="nil"/>
            </w:tcBorders>
            <w:shd w:val="clear" w:color="auto" w:fill="auto"/>
            <w:noWrap/>
            <w:vAlign w:val="bottom"/>
            <w:hideMark/>
          </w:tcPr>
          <w:p w14:paraId="3259AFE1" w14:textId="77777777" w:rsidR="005A1004" w:rsidRPr="005A1004" w:rsidRDefault="005A1004" w:rsidP="005A1004">
            <w:pPr>
              <w:jc w:val="right"/>
              <w:rPr>
                <w:rFonts w:cs="Arial"/>
                <w:b/>
                <w:bCs/>
                <w:color w:val="000000"/>
                <w:sz w:val="20"/>
                <w:lang w:eastAsia="en-GB"/>
              </w:rPr>
            </w:pPr>
          </w:p>
        </w:tc>
      </w:tr>
    </w:tbl>
    <w:p w14:paraId="439AE7DF" w14:textId="77777777" w:rsidR="005A1004" w:rsidRDefault="005A1004" w:rsidP="00E2227D">
      <w:pPr>
        <w:rPr>
          <w:rFonts w:cs="Arial"/>
          <w:szCs w:val="24"/>
        </w:rPr>
      </w:pPr>
    </w:p>
    <w:p w14:paraId="5800682C" w14:textId="3C00300F" w:rsidR="00E2227D" w:rsidRPr="00242877" w:rsidRDefault="00E2227D">
      <w:pPr>
        <w:pStyle w:val="ListParagraph"/>
        <w:numPr>
          <w:ilvl w:val="0"/>
          <w:numId w:val="16"/>
        </w:numPr>
        <w:ind w:left="567" w:hanging="567"/>
        <w:rPr>
          <w:rFonts w:cs="Arial"/>
          <w:szCs w:val="24"/>
        </w:rPr>
      </w:pPr>
      <w:r w:rsidRPr="00242877">
        <w:rPr>
          <w:rFonts w:cs="Arial"/>
          <w:szCs w:val="24"/>
        </w:rPr>
        <w:t>The following points/assumptions should be noted in the modelling:</w:t>
      </w:r>
    </w:p>
    <w:p w14:paraId="6E4087F0" w14:textId="77777777" w:rsidR="00E2227D" w:rsidRDefault="00E2227D" w:rsidP="00E2227D">
      <w:pPr>
        <w:rPr>
          <w:rFonts w:cs="Arial"/>
          <w:szCs w:val="24"/>
        </w:rPr>
      </w:pPr>
    </w:p>
    <w:p w14:paraId="0A2783CA" w14:textId="77777777" w:rsidR="00E2227D" w:rsidRPr="00361F02" w:rsidRDefault="00E2227D">
      <w:pPr>
        <w:pStyle w:val="ListParagraph"/>
        <w:numPr>
          <w:ilvl w:val="0"/>
          <w:numId w:val="10"/>
        </w:numPr>
        <w:contextualSpacing/>
        <w:rPr>
          <w:rFonts w:cs="Arial"/>
        </w:rPr>
      </w:pPr>
      <w:r w:rsidRPr="00361F02">
        <w:rPr>
          <w:rFonts w:cs="Arial"/>
        </w:rPr>
        <w:t>The WLA DPS 2023-24 rates used to determine uplifts for standard older people’s bedded care placements are capped at £746 for residential; £803 for residential dementia; £782 for nursing and £804 for nursing dementia placements in Brent and Ealing. Harrow has aligned its uplift standard prices with these two LAs for several years, but this year will limit its increase to 2.5% which will equate to £667 for residential; £725 for residential dementia; £726 for nursing and £746 for nursing dementia placements.</w:t>
      </w:r>
    </w:p>
    <w:p w14:paraId="28F79A0D" w14:textId="77777777" w:rsidR="00E2227D" w:rsidRPr="00361F02" w:rsidRDefault="00E2227D" w:rsidP="00E2227D">
      <w:pPr>
        <w:pStyle w:val="ListParagraph"/>
        <w:rPr>
          <w:rFonts w:cs="Arial"/>
        </w:rPr>
      </w:pPr>
    </w:p>
    <w:p w14:paraId="15C52B44" w14:textId="77777777" w:rsidR="006524CD" w:rsidRDefault="00E2227D" w:rsidP="006524CD">
      <w:pPr>
        <w:pStyle w:val="ListParagraph"/>
        <w:numPr>
          <w:ilvl w:val="0"/>
          <w:numId w:val="10"/>
        </w:numPr>
        <w:contextualSpacing/>
        <w:rPr>
          <w:rFonts w:cs="Arial"/>
        </w:rPr>
      </w:pPr>
      <w:r w:rsidRPr="00361F02">
        <w:rPr>
          <w:rFonts w:cs="Arial"/>
        </w:rPr>
        <w:t>The price of care has increased annually through a combination of increased hours for complexity (home care) and increased prices for new packages (bedded care). This ‘price creep’ is approximately 10% bedded and 5% community. It is proposed that for Year 2 the inflationary increase will be based on the new prices, this will increase the cost of the 2.</w:t>
      </w:r>
      <w:r w:rsidR="005A1004">
        <w:rPr>
          <w:rFonts w:cs="Arial"/>
        </w:rPr>
        <w:t>3</w:t>
      </w:r>
      <w:r w:rsidRPr="00361F02">
        <w:rPr>
          <w:rFonts w:cs="Arial"/>
        </w:rPr>
        <w:t>5% increase assumed.</w:t>
      </w:r>
    </w:p>
    <w:p w14:paraId="48198580" w14:textId="77777777" w:rsidR="006524CD" w:rsidRPr="006524CD" w:rsidRDefault="006524CD" w:rsidP="00B23445">
      <w:pPr>
        <w:pStyle w:val="ListParagraph"/>
        <w:rPr>
          <w:rFonts w:cs="Arial"/>
        </w:rPr>
      </w:pPr>
    </w:p>
    <w:p w14:paraId="6C4CED30" w14:textId="5F8BEB0D" w:rsidR="006524CD" w:rsidRPr="00B23445" w:rsidRDefault="006524CD" w:rsidP="00B23445">
      <w:pPr>
        <w:pStyle w:val="ListParagraph"/>
        <w:numPr>
          <w:ilvl w:val="0"/>
          <w:numId w:val="10"/>
        </w:numPr>
        <w:contextualSpacing/>
        <w:rPr>
          <w:rFonts w:cs="Arial"/>
        </w:rPr>
      </w:pPr>
      <w:r w:rsidRPr="006524CD">
        <w:rPr>
          <w:rFonts w:cs="Arial"/>
        </w:rPr>
        <w:t>The uplift in 2024-25 will be based on the ongoing uplifted rates of 2.7% and will exclude the one-off uplift (of 2.3%).  In practice this will mean that in cash terms, providers will not see an increase in rates in 2024-25 as the 2.35% uplift will be largely equivalent to the one-off increase of 2.3% from 2023-24.</w:t>
      </w:r>
    </w:p>
    <w:p w14:paraId="7BF62DBC" w14:textId="77777777" w:rsidR="00E2227D" w:rsidRPr="00072575" w:rsidRDefault="00E2227D" w:rsidP="00E2227D">
      <w:pPr>
        <w:pStyle w:val="ListParagraph"/>
        <w:rPr>
          <w:rFonts w:cs="Arial"/>
        </w:rPr>
      </w:pPr>
    </w:p>
    <w:p w14:paraId="2E45867A" w14:textId="46E0A393" w:rsidR="00E2227D" w:rsidRDefault="00E2227D">
      <w:pPr>
        <w:pStyle w:val="ListParagraph"/>
        <w:numPr>
          <w:ilvl w:val="0"/>
          <w:numId w:val="10"/>
        </w:numPr>
        <w:contextualSpacing/>
        <w:rPr>
          <w:rFonts w:cs="Arial"/>
        </w:rPr>
      </w:pPr>
      <w:r w:rsidRPr="00072575">
        <w:rPr>
          <w:rFonts w:cs="Arial"/>
        </w:rPr>
        <w:t xml:space="preserve">New packages of care will be agreed through the existing processes – Care Cube for LD and CYAD, WLA rates for Older People and PD. The approach to Mental Health </w:t>
      </w:r>
      <w:r>
        <w:rPr>
          <w:rFonts w:cs="Arial"/>
        </w:rPr>
        <w:t>will</w:t>
      </w:r>
      <w:r w:rsidRPr="00072575">
        <w:rPr>
          <w:rFonts w:cs="Arial"/>
        </w:rPr>
        <w:t xml:space="preserve"> be agreed.</w:t>
      </w:r>
    </w:p>
    <w:p w14:paraId="415771A4" w14:textId="77777777" w:rsidR="00384609" w:rsidRPr="00384609" w:rsidRDefault="00384609" w:rsidP="00B23445">
      <w:pPr>
        <w:pStyle w:val="ListParagraph"/>
        <w:rPr>
          <w:rFonts w:cs="Arial"/>
        </w:rPr>
      </w:pPr>
    </w:p>
    <w:p w14:paraId="32F0220F" w14:textId="05648F1D" w:rsidR="00384609" w:rsidRPr="002A6D9C" w:rsidRDefault="00384609" w:rsidP="002A6D9C">
      <w:pPr>
        <w:pStyle w:val="ListParagraph"/>
        <w:numPr>
          <w:ilvl w:val="0"/>
          <w:numId w:val="10"/>
        </w:numPr>
        <w:contextualSpacing/>
        <w:rPr>
          <w:rFonts w:cs="Arial"/>
        </w:rPr>
      </w:pPr>
      <w:r>
        <w:rPr>
          <w:rFonts w:cs="Arial"/>
        </w:rPr>
        <w:t xml:space="preserve">The cost of the £2m one off provision in 2023-24 will be funded from the MTFS Budget Planning Reserve.  Subject to the finalisation of the 2022-23 Outturn, this reserve stands at £16.4m and hence will be reduced to £14.4m. </w:t>
      </w:r>
    </w:p>
    <w:p w14:paraId="41D80CF8" w14:textId="77777777" w:rsidR="00333FAA" w:rsidRPr="00006F64" w:rsidRDefault="00333FAA" w:rsidP="00A1211C">
      <w:pPr>
        <w:pStyle w:val="Heading3"/>
        <w:spacing w:before="480" w:after="240"/>
      </w:pPr>
      <w:r w:rsidRPr="004A2543">
        <w:t>Equalities implications</w:t>
      </w:r>
      <w:r w:rsidR="001C7E35">
        <w:t xml:space="preserve"> </w:t>
      </w:r>
      <w:r w:rsidRPr="00333FAA">
        <w:t>/</w:t>
      </w:r>
      <w:r w:rsidR="001C7E35">
        <w:t xml:space="preserve"> </w:t>
      </w:r>
      <w:r w:rsidRPr="00333FAA">
        <w:t>Public Sector Equality Duty</w:t>
      </w:r>
    </w:p>
    <w:p w14:paraId="0ACE1451" w14:textId="77777777" w:rsidR="003E4C35" w:rsidRPr="00242877" w:rsidRDefault="003E4C35">
      <w:pPr>
        <w:pStyle w:val="ListParagraph"/>
        <w:numPr>
          <w:ilvl w:val="0"/>
          <w:numId w:val="16"/>
        </w:numPr>
        <w:suppressAutoHyphens/>
        <w:ind w:left="567" w:hanging="567"/>
        <w:rPr>
          <w:rFonts w:cs="Arial"/>
          <w:lang w:eastAsia="ar-SA"/>
        </w:rPr>
      </w:pPr>
      <w:r w:rsidRPr="00242877">
        <w:rPr>
          <w:rFonts w:cs="Arial"/>
          <w:lang w:eastAsia="ar-SA"/>
        </w:rPr>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1EEE28D7" w14:textId="77777777" w:rsidR="003E4C35" w:rsidRPr="00C775D1" w:rsidRDefault="003E4C35" w:rsidP="003E4C35">
      <w:pPr>
        <w:suppressAutoHyphens/>
        <w:ind w:left="851" w:hanging="851"/>
        <w:jc w:val="both"/>
        <w:rPr>
          <w:rFonts w:cs="Arial"/>
          <w:i/>
          <w:iCs/>
          <w:szCs w:val="24"/>
          <w:lang w:eastAsia="ar-SA"/>
        </w:rPr>
      </w:pPr>
    </w:p>
    <w:p w14:paraId="31A18989" w14:textId="77777777" w:rsidR="003E4C35" w:rsidRPr="007F1F83" w:rsidRDefault="003E4C35" w:rsidP="000C6E90">
      <w:pPr>
        <w:pStyle w:val="ListParagraph"/>
        <w:suppressAutoHyphens/>
        <w:ind w:left="567"/>
        <w:rPr>
          <w:rFonts w:cs="Arial"/>
          <w:i/>
          <w:iCs/>
          <w:szCs w:val="24"/>
          <w:lang w:eastAsia="ar-SA"/>
        </w:rPr>
      </w:pPr>
      <w:r w:rsidRPr="007F1F83">
        <w:rPr>
          <w:rFonts w:cs="Arial"/>
          <w:i/>
          <w:iCs/>
          <w:szCs w:val="24"/>
          <w:lang w:eastAsia="ar-SA"/>
        </w:rPr>
        <w:t>A public authority must, in the exercise of its functions, have due regard to the need to:</w:t>
      </w:r>
    </w:p>
    <w:p w14:paraId="1D2626E9" w14:textId="77777777" w:rsidR="003E4C35" w:rsidRPr="00C775D1" w:rsidRDefault="003E4C35">
      <w:pPr>
        <w:numPr>
          <w:ilvl w:val="1"/>
          <w:numId w:val="7"/>
        </w:numPr>
        <w:tabs>
          <w:tab w:val="clear" w:pos="1440"/>
          <w:tab w:val="num" w:pos="1134"/>
        </w:tabs>
        <w:suppressAutoHyphens/>
        <w:ind w:left="1134" w:hanging="567"/>
        <w:rPr>
          <w:rFonts w:cs="Arial"/>
          <w:i/>
          <w:iCs/>
          <w:szCs w:val="24"/>
          <w:lang w:eastAsia="ar-SA"/>
        </w:rPr>
      </w:pPr>
      <w:r w:rsidRPr="00C775D1">
        <w:rPr>
          <w:rFonts w:cs="Arial"/>
          <w:i/>
          <w:iCs/>
          <w:szCs w:val="24"/>
          <w:lang w:eastAsia="ar-SA"/>
        </w:rPr>
        <w:t xml:space="preserve">eliminate discrimination, harassment, victimisation and any other conduct that is prohibited by or under this </w:t>
      </w:r>
      <w:proofErr w:type="gramStart"/>
      <w:r w:rsidRPr="00C775D1">
        <w:rPr>
          <w:rFonts w:cs="Arial"/>
          <w:i/>
          <w:iCs/>
          <w:szCs w:val="24"/>
          <w:lang w:eastAsia="ar-SA"/>
        </w:rPr>
        <w:t>Act;</w:t>
      </w:r>
      <w:proofErr w:type="gramEnd"/>
    </w:p>
    <w:p w14:paraId="5BAF7FD3" w14:textId="77777777" w:rsidR="003E4C35" w:rsidRPr="00C775D1" w:rsidRDefault="003E4C35">
      <w:pPr>
        <w:numPr>
          <w:ilvl w:val="1"/>
          <w:numId w:val="7"/>
        </w:numPr>
        <w:tabs>
          <w:tab w:val="clear" w:pos="1440"/>
          <w:tab w:val="num" w:pos="1134"/>
        </w:tabs>
        <w:suppressAutoHyphens/>
        <w:ind w:left="1134" w:hanging="567"/>
        <w:rPr>
          <w:rFonts w:cs="Arial"/>
          <w:i/>
          <w:iCs/>
          <w:szCs w:val="24"/>
          <w:lang w:eastAsia="ar-SA"/>
        </w:rPr>
      </w:pPr>
      <w:r w:rsidRPr="00C775D1">
        <w:rPr>
          <w:rFonts w:cs="Arial"/>
          <w:i/>
          <w:iCs/>
          <w:szCs w:val="24"/>
          <w:lang w:eastAsia="ar-SA"/>
        </w:rPr>
        <w:t xml:space="preserve">advance equality of opportunity between persons who share a relevant protected characteristic and persons who do not share </w:t>
      </w:r>
      <w:proofErr w:type="gramStart"/>
      <w:r w:rsidRPr="00C775D1">
        <w:rPr>
          <w:rFonts w:cs="Arial"/>
          <w:i/>
          <w:iCs/>
          <w:szCs w:val="24"/>
          <w:lang w:eastAsia="ar-SA"/>
        </w:rPr>
        <w:t>it;</w:t>
      </w:r>
      <w:proofErr w:type="gramEnd"/>
    </w:p>
    <w:p w14:paraId="76C7B0EB" w14:textId="77777777" w:rsidR="003E4C35" w:rsidRDefault="003E4C35">
      <w:pPr>
        <w:numPr>
          <w:ilvl w:val="1"/>
          <w:numId w:val="7"/>
        </w:numPr>
        <w:tabs>
          <w:tab w:val="clear" w:pos="1440"/>
          <w:tab w:val="num" w:pos="1134"/>
        </w:tabs>
        <w:suppressAutoHyphens/>
        <w:ind w:left="1134" w:hanging="567"/>
        <w:rPr>
          <w:rFonts w:cs="Arial"/>
          <w:i/>
          <w:iCs/>
          <w:szCs w:val="24"/>
          <w:lang w:eastAsia="ar-SA"/>
        </w:rPr>
      </w:pPr>
      <w:r w:rsidRPr="00C775D1">
        <w:rPr>
          <w:rFonts w:cs="Arial"/>
          <w:i/>
          <w:iCs/>
          <w:szCs w:val="24"/>
          <w:lang w:eastAsia="ar-SA"/>
        </w:rPr>
        <w:t>Foster good relations between persons who share a relevant protected characteristic and persons who do not share it.</w:t>
      </w:r>
    </w:p>
    <w:p w14:paraId="65DB1D75" w14:textId="77777777" w:rsidR="003E4C35" w:rsidRPr="00C775D1" w:rsidRDefault="003E4C35" w:rsidP="003E4C35">
      <w:pPr>
        <w:suppressAutoHyphens/>
        <w:ind w:left="851"/>
        <w:rPr>
          <w:rFonts w:cs="Arial"/>
          <w:i/>
          <w:iCs/>
          <w:szCs w:val="24"/>
          <w:lang w:eastAsia="ar-SA"/>
        </w:rPr>
      </w:pPr>
    </w:p>
    <w:p w14:paraId="2205F589" w14:textId="39773297" w:rsidR="003E4C35" w:rsidRPr="007F1F83" w:rsidRDefault="003E4C35" w:rsidP="000C6E90">
      <w:pPr>
        <w:pStyle w:val="ListParagraph"/>
        <w:suppressAutoHyphens/>
        <w:ind w:left="567"/>
        <w:rPr>
          <w:rFonts w:cs="Arial"/>
          <w:i/>
          <w:iCs/>
          <w:szCs w:val="24"/>
          <w:lang w:eastAsia="ar-SA"/>
        </w:rPr>
      </w:pPr>
      <w:r w:rsidRPr="007F1F83">
        <w:rPr>
          <w:rFonts w:cs="Arial"/>
          <w:i/>
          <w:iCs/>
          <w:szCs w:val="24"/>
          <w:lang w:eastAsia="ar-SA"/>
        </w:rPr>
        <w:t>Having due regard to the need to advance equality of opportunity</w:t>
      </w:r>
      <w:r w:rsidR="00E255FC">
        <w:rPr>
          <w:rFonts w:cs="Arial"/>
          <w:i/>
          <w:iCs/>
          <w:szCs w:val="24"/>
          <w:lang w:eastAsia="ar-SA"/>
        </w:rPr>
        <w:t xml:space="preserve"> </w:t>
      </w:r>
      <w:r w:rsidRPr="007F1F83">
        <w:rPr>
          <w:rFonts w:cs="Arial"/>
          <w:i/>
          <w:iCs/>
          <w:szCs w:val="24"/>
          <w:lang w:eastAsia="ar-SA"/>
        </w:rPr>
        <w:t>between persons who share a relevant protected characteristic and persons who do not share it involves having due regard to the need to:</w:t>
      </w:r>
    </w:p>
    <w:p w14:paraId="59A94F0D" w14:textId="77777777" w:rsidR="003E4C35" w:rsidRPr="00C775D1" w:rsidRDefault="003E4C35">
      <w:pPr>
        <w:numPr>
          <w:ilvl w:val="0"/>
          <w:numId w:val="9"/>
        </w:numPr>
        <w:tabs>
          <w:tab w:val="clear" w:pos="720"/>
          <w:tab w:val="num" w:pos="1134"/>
          <w:tab w:val="left" w:pos="1440"/>
          <w:tab w:val="left" w:pos="1496"/>
        </w:tabs>
        <w:suppressAutoHyphens/>
        <w:ind w:left="1134" w:hanging="567"/>
        <w:rPr>
          <w:rFonts w:cs="Arial"/>
          <w:i/>
          <w:iCs/>
          <w:szCs w:val="24"/>
          <w:lang w:eastAsia="ar-SA"/>
        </w:rPr>
      </w:pPr>
      <w:r w:rsidRPr="00C775D1">
        <w:rPr>
          <w:rFonts w:cs="Arial"/>
          <w:i/>
          <w:iCs/>
          <w:szCs w:val="24"/>
          <w:lang w:eastAsia="ar-SA"/>
        </w:rPr>
        <w:t xml:space="preserve">remove or minimise disadvantages suffered by persons who share a relevant protected characteristic that are connected to that </w:t>
      </w:r>
      <w:proofErr w:type="gramStart"/>
      <w:r w:rsidRPr="00C775D1">
        <w:rPr>
          <w:rFonts w:cs="Arial"/>
          <w:i/>
          <w:iCs/>
          <w:szCs w:val="24"/>
          <w:lang w:eastAsia="ar-SA"/>
        </w:rPr>
        <w:t>characteristic;</w:t>
      </w:r>
      <w:proofErr w:type="gramEnd"/>
    </w:p>
    <w:p w14:paraId="4F4A8E19" w14:textId="77777777" w:rsidR="003E4C35" w:rsidRPr="00C775D1" w:rsidRDefault="003E4C35">
      <w:pPr>
        <w:numPr>
          <w:ilvl w:val="0"/>
          <w:numId w:val="9"/>
        </w:numPr>
        <w:tabs>
          <w:tab w:val="clear" w:pos="720"/>
          <w:tab w:val="num" w:pos="1134"/>
          <w:tab w:val="left" w:pos="1440"/>
          <w:tab w:val="left" w:pos="1496"/>
        </w:tabs>
        <w:suppressAutoHyphens/>
        <w:ind w:left="1134" w:hanging="567"/>
        <w:rPr>
          <w:rFonts w:cs="Arial"/>
          <w:i/>
          <w:iCs/>
          <w:szCs w:val="24"/>
          <w:lang w:eastAsia="ar-SA"/>
        </w:rPr>
      </w:pPr>
      <w:r w:rsidRPr="00C775D1">
        <w:rPr>
          <w:rFonts w:cs="Arial"/>
          <w:i/>
          <w:iCs/>
          <w:szCs w:val="24"/>
          <w:lang w:eastAsia="ar-SA"/>
        </w:rPr>
        <w:lastRenderedPageBreak/>
        <w:t xml:space="preserve">take steps to meet the needs of persons who share a relevant protected characteristic that are different from the needs of persons who do not share </w:t>
      </w:r>
      <w:proofErr w:type="gramStart"/>
      <w:r w:rsidRPr="00C775D1">
        <w:rPr>
          <w:rFonts w:cs="Arial"/>
          <w:i/>
          <w:iCs/>
          <w:szCs w:val="24"/>
          <w:lang w:eastAsia="ar-SA"/>
        </w:rPr>
        <w:t>it;</w:t>
      </w:r>
      <w:proofErr w:type="gramEnd"/>
    </w:p>
    <w:p w14:paraId="7A3A2FE4" w14:textId="77777777" w:rsidR="003E4C35" w:rsidRDefault="003E4C35">
      <w:pPr>
        <w:numPr>
          <w:ilvl w:val="0"/>
          <w:numId w:val="9"/>
        </w:numPr>
        <w:tabs>
          <w:tab w:val="clear" w:pos="720"/>
          <w:tab w:val="num" w:pos="1134"/>
          <w:tab w:val="left" w:pos="1440"/>
          <w:tab w:val="left" w:pos="1496"/>
        </w:tabs>
        <w:suppressAutoHyphens/>
        <w:ind w:left="1134" w:hanging="567"/>
        <w:rPr>
          <w:rFonts w:cs="Arial"/>
          <w:i/>
          <w:iCs/>
          <w:szCs w:val="24"/>
          <w:lang w:eastAsia="ar-SA"/>
        </w:rPr>
      </w:pPr>
      <w:r w:rsidRPr="00C775D1">
        <w:rPr>
          <w:rFonts w:cs="Arial"/>
          <w:i/>
          <w:iCs/>
          <w:szCs w:val="24"/>
          <w:lang w:eastAsia="ar-SA"/>
        </w:rPr>
        <w:t xml:space="preserve">Encourage persons who share a relevant protected characteristic to participate in public life or in any other activity in which </w:t>
      </w:r>
      <w:r w:rsidRPr="00711406">
        <w:rPr>
          <w:rFonts w:cs="Arial"/>
          <w:i/>
          <w:iCs/>
          <w:szCs w:val="24"/>
          <w:lang w:eastAsia="ar-SA"/>
        </w:rPr>
        <w:t>participation b</w:t>
      </w:r>
      <w:r w:rsidRPr="00C775D1">
        <w:rPr>
          <w:rFonts w:cs="Arial"/>
          <w:i/>
          <w:iCs/>
          <w:szCs w:val="24"/>
          <w:lang w:eastAsia="ar-SA"/>
        </w:rPr>
        <w:t>y such persons is disproportionately low.</w:t>
      </w:r>
    </w:p>
    <w:p w14:paraId="254C43BA" w14:textId="77777777" w:rsidR="003E4C35" w:rsidRPr="00C775D1" w:rsidRDefault="003E4C35" w:rsidP="003E4C35">
      <w:pPr>
        <w:tabs>
          <w:tab w:val="left" w:pos="1440"/>
          <w:tab w:val="left" w:pos="1496"/>
        </w:tabs>
        <w:suppressAutoHyphens/>
        <w:ind w:left="1134"/>
        <w:rPr>
          <w:rFonts w:cs="Arial"/>
          <w:i/>
          <w:iCs/>
          <w:szCs w:val="24"/>
          <w:lang w:eastAsia="ar-SA"/>
        </w:rPr>
      </w:pPr>
    </w:p>
    <w:p w14:paraId="79CF00D2" w14:textId="77777777" w:rsidR="003E4C35" w:rsidRPr="007F1F83" w:rsidRDefault="003E4C35" w:rsidP="000C6E90">
      <w:pPr>
        <w:pStyle w:val="ListParagraph"/>
        <w:suppressAutoHyphens/>
        <w:ind w:left="567"/>
        <w:rPr>
          <w:rFonts w:cs="Arial"/>
          <w:lang w:eastAsia="ar-SA"/>
        </w:rPr>
      </w:pPr>
      <w:r w:rsidRPr="007F1F83">
        <w:rPr>
          <w:rFonts w:cs="Arial"/>
          <w:i/>
          <w:iCs/>
          <w:szCs w:val="24"/>
          <w:lang w:eastAsia="ar-SA"/>
        </w:rPr>
        <w:t>The steps involved in meeting the needs of disabled persons that are different from the needs of persons who are not disabled include</w:t>
      </w:r>
      <w:proofErr w:type="gramStart"/>
      <w:r w:rsidRPr="007F1F83">
        <w:rPr>
          <w:rFonts w:cs="Arial"/>
          <w:i/>
          <w:iCs/>
          <w:szCs w:val="24"/>
          <w:lang w:eastAsia="ar-SA"/>
        </w:rPr>
        <w:t>, in particular, steps</w:t>
      </w:r>
      <w:proofErr w:type="gramEnd"/>
      <w:r w:rsidRPr="007F1F83">
        <w:rPr>
          <w:rFonts w:cs="Arial"/>
          <w:i/>
          <w:iCs/>
          <w:szCs w:val="24"/>
          <w:lang w:eastAsia="ar-SA"/>
        </w:rPr>
        <w:t xml:space="preserve"> to take account of disabled persons’ disabilities.</w:t>
      </w:r>
    </w:p>
    <w:p w14:paraId="155F78B8" w14:textId="77777777" w:rsidR="003E4C35" w:rsidRPr="00BF7C9D" w:rsidRDefault="003E4C35" w:rsidP="003E4C35">
      <w:pPr>
        <w:pStyle w:val="ListParagraph"/>
        <w:suppressAutoHyphens/>
        <w:ind w:left="567"/>
        <w:rPr>
          <w:rFonts w:cs="Arial"/>
          <w:lang w:eastAsia="ar-SA"/>
        </w:rPr>
      </w:pPr>
    </w:p>
    <w:p w14:paraId="0AA6EB36" w14:textId="77777777" w:rsidR="003E4C35" w:rsidRPr="00711406" w:rsidRDefault="003E4C35" w:rsidP="000C6E90">
      <w:pPr>
        <w:pStyle w:val="ListParagraph"/>
        <w:suppressAutoHyphens/>
        <w:ind w:left="567"/>
        <w:rPr>
          <w:rFonts w:cs="Arial"/>
          <w:i/>
          <w:iCs/>
          <w:lang w:eastAsia="ar-SA"/>
        </w:rPr>
      </w:pPr>
      <w:r w:rsidRPr="00711406">
        <w:rPr>
          <w:rFonts w:cs="Arial"/>
          <w:i/>
          <w:iCs/>
          <w:lang w:eastAsia="ar-SA"/>
        </w:rPr>
        <w:t>Having due regard to the need to foster good relations between persons who share a relevant protected characteristic and persons who do not share it involves having due regard to the need to:</w:t>
      </w:r>
    </w:p>
    <w:p w14:paraId="409A2B38" w14:textId="77777777" w:rsidR="003E4C35" w:rsidRPr="00C775D1" w:rsidRDefault="003E4C35">
      <w:pPr>
        <w:numPr>
          <w:ilvl w:val="0"/>
          <w:numId w:val="8"/>
        </w:numPr>
        <w:tabs>
          <w:tab w:val="clear" w:pos="1080"/>
          <w:tab w:val="num" w:pos="1134"/>
          <w:tab w:val="left" w:pos="1800"/>
        </w:tabs>
        <w:suppressAutoHyphens/>
        <w:ind w:left="1134" w:hanging="567"/>
        <w:jc w:val="both"/>
        <w:rPr>
          <w:rFonts w:cs="Arial"/>
          <w:i/>
          <w:iCs/>
          <w:szCs w:val="24"/>
          <w:lang w:eastAsia="ar-SA"/>
        </w:rPr>
      </w:pPr>
      <w:r w:rsidRPr="00C775D1">
        <w:rPr>
          <w:rFonts w:cs="Arial"/>
          <w:i/>
          <w:iCs/>
          <w:szCs w:val="24"/>
          <w:lang w:eastAsia="ar-SA"/>
        </w:rPr>
        <w:t>Tackle prejudice, and</w:t>
      </w:r>
    </w:p>
    <w:p w14:paraId="7578CA73" w14:textId="77777777" w:rsidR="003E4C35" w:rsidRDefault="003E4C35">
      <w:pPr>
        <w:numPr>
          <w:ilvl w:val="0"/>
          <w:numId w:val="8"/>
        </w:numPr>
        <w:tabs>
          <w:tab w:val="clear" w:pos="1080"/>
          <w:tab w:val="num" w:pos="1134"/>
        </w:tabs>
        <w:suppressAutoHyphens/>
        <w:ind w:left="1134" w:hanging="567"/>
        <w:jc w:val="both"/>
        <w:rPr>
          <w:rFonts w:cs="Arial"/>
          <w:i/>
          <w:iCs/>
          <w:szCs w:val="24"/>
          <w:lang w:eastAsia="ar-SA"/>
        </w:rPr>
      </w:pPr>
      <w:r w:rsidRPr="00C775D1">
        <w:rPr>
          <w:rFonts w:cs="Arial"/>
          <w:i/>
          <w:iCs/>
          <w:szCs w:val="24"/>
          <w:lang w:eastAsia="ar-SA"/>
        </w:rPr>
        <w:t>Promote understanding.</w:t>
      </w:r>
    </w:p>
    <w:p w14:paraId="35FB8614" w14:textId="77777777" w:rsidR="003E4C35" w:rsidRDefault="003E4C35" w:rsidP="003E4C35">
      <w:pPr>
        <w:suppressAutoHyphens/>
        <w:ind w:left="1134"/>
        <w:jc w:val="both"/>
        <w:rPr>
          <w:rFonts w:cs="Arial"/>
          <w:i/>
          <w:iCs/>
          <w:szCs w:val="24"/>
          <w:lang w:eastAsia="ar-SA"/>
        </w:rPr>
      </w:pPr>
    </w:p>
    <w:p w14:paraId="0D53811D" w14:textId="77777777" w:rsidR="003E4C35" w:rsidRPr="007F1F83" w:rsidRDefault="003E4C35" w:rsidP="000C6E90">
      <w:pPr>
        <w:pStyle w:val="ListParagraph"/>
        <w:suppressAutoHyphens/>
        <w:ind w:left="567"/>
        <w:rPr>
          <w:rFonts w:cs="Arial"/>
          <w:i/>
          <w:iCs/>
          <w:szCs w:val="24"/>
          <w:lang w:eastAsia="ar-SA"/>
        </w:rPr>
      </w:pPr>
      <w:r w:rsidRPr="007F1F83">
        <w:rPr>
          <w:rFonts w:cs="Arial"/>
          <w:i/>
          <w:iCs/>
          <w:szCs w:val="24"/>
          <w:lang w:eastAsia="ar-SA"/>
        </w:rPr>
        <w:t xml:space="preserve">Compliance with the duties in this section may involve treating some persons more favourably than others; but that is not to be taken as permitting conduct that would otherwise be prohibited by or under this Act. </w:t>
      </w:r>
    </w:p>
    <w:p w14:paraId="578CF2D3" w14:textId="77777777" w:rsidR="003E4C35" w:rsidRDefault="003E4C35" w:rsidP="003E4C35">
      <w:pPr>
        <w:suppressAutoHyphens/>
        <w:ind w:left="207"/>
        <w:jc w:val="both"/>
        <w:rPr>
          <w:rFonts w:cs="Arial"/>
          <w:i/>
          <w:iCs/>
          <w:szCs w:val="24"/>
          <w:lang w:eastAsia="ar-SA"/>
        </w:rPr>
      </w:pPr>
    </w:p>
    <w:p w14:paraId="554C78D2" w14:textId="77777777" w:rsidR="003E4C35" w:rsidRPr="007F1F83" w:rsidRDefault="003E4C35" w:rsidP="000C6E90">
      <w:pPr>
        <w:pStyle w:val="ListParagraph"/>
        <w:suppressAutoHyphens/>
        <w:ind w:left="567"/>
        <w:jc w:val="both"/>
        <w:rPr>
          <w:rFonts w:cs="Arial"/>
          <w:i/>
          <w:iCs/>
          <w:szCs w:val="24"/>
          <w:lang w:eastAsia="ar-SA"/>
        </w:rPr>
      </w:pPr>
      <w:r w:rsidRPr="007F1F83">
        <w:rPr>
          <w:rFonts w:cs="Arial"/>
          <w:i/>
          <w:iCs/>
          <w:szCs w:val="24"/>
          <w:lang w:eastAsia="ar-SA"/>
        </w:rPr>
        <w:t>The relevant protected characteristics are:</w:t>
      </w:r>
    </w:p>
    <w:p w14:paraId="71C3E6E7" w14:textId="77777777" w:rsidR="003E4C35" w:rsidRPr="00C775D1" w:rsidRDefault="003E4C35">
      <w:pPr>
        <w:numPr>
          <w:ilvl w:val="0"/>
          <w:numId w:val="6"/>
        </w:numPr>
        <w:tabs>
          <w:tab w:val="clear" w:pos="348"/>
        </w:tabs>
        <w:suppressAutoHyphens/>
        <w:ind w:left="1560" w:hanging="284"/>
        <w:jc w:val="both"/>
        <w:rPr>
          <w:rFonts w:cs="Arial"/>
          <w:i/>
          <w:iCs/>
          <w:szCs w:val="24"/>
          <w:lang w:eastAsia="ar-SA"/>
        </w:rPr>
      </w:pPr>
      <w:r w:rsidRPr="00C775D1">
        <w:rPr>
          <w:rFonts w:cs="Arial"/>
          <w:i/>
          <w:iCs/>
          <w:szCs w:val="24"/>
          <w:lang w:eastAsia="ar-SA"/>
        </w:rPr>
        <w:t>Age</w:t>
      </w:r>
    </w:p>
    <w:p w14:paraId="037E2B3A" w14:textId="77777777" w:rsidR="003E4C35" w:rsidRPr="00C775D1" w:rsidRDefault="003E4C35">
      <w:pPr>
        <w:numPr>
          <w:ilvl w:val="0"/>
          <w:numId w:val="6"/>
        </w:numPr>
        <w:tabs>
          <w:tab w:val="clear" w:pos="348"/>
        </w:tabs>
        <w:suppressAutoHyphens/>
        <w:ind w:left="1560" w:hanging="284"/>
        <w:jc w:val="both"/>
        <w:rPr>
          <w:rFonts w:cs="Arial"/>
          <w:i/>
          <w:iCs/>
          <w:szCs w:val="24"/>
          <w:lang w:eastAsia="ar-SA"/>
        </w:rPr>
      </w:pPr>
      <w:r w:rsidRPr="00C775D1">
        <w:rPr>
          <w:rFonts w:cs="Arial"/>
          <w:i/>
          <w:iCs/>
          <w:szCs w:val="24"/>
          <w:lang w:eastAsia="ar-SA"/>
        </w:rPr>
        <w:t>Disability</w:t>
      </w:r>
    </w:p>
    <w:p w14:paraId="1A4CF490" w14:textId="77777777" w:rsidR="003E4C35" w:rsidRPr="00C775D1" w:rsidRDefault="003E4C35">
      <w:pPr>
        <w:numPr>
          <w:ilvl w:val="0"/>
          <w:numId w:val="6"/>
        </w:numPr>
        <w:tabs>
          <w:tab w:val="clear" w:pos="348"/>
        </w:tabs>
        <w:suppressAutoHyphens/>
        <w:ind w:left="1560" w:hanging="284"/>
        <w:jc w:val="both"/>
        <w:rPr>
          <w:rFonts w:cs="Arial"/>
          <w:i/>
          <w:iCs/>
          <w:szCs w:val="24"/>
          <w:lang w:eastAsia="ar-SA"/>
        </w:rPr>
      </w:pPr>
      <w:r w:rsidRPr="00C775D1">
        <w:rPr>
          <w:rFonts w:cs="Arial"/>
          <w:i/>
          <w:iCs/>
          <w:szCs w:val="24"/>
          <w:lang w:eastAsia="ar-SA"/>
        </w:rPr>
        <w:t>Gender reassignment</w:t>
      </w:r>
    </w:p>
    <w:p w14:paraId="154EFD66" w14:textId="77777777" w:rsidR="003E4C35" w:rsidRPr="00C775D1" w:rsidRDefault="003E4C35">
      <w:pPr>
        <w:numPr>
          <w:ilvl w:val="0"/>
          <w:numId w:val="6"/>
        </w:numPr>
        <w:tabs>
          <w:tab w:val="clear" w:pos="348"/>
        </w:tabs>
        <w:suppressAutoHyphens/>
        <w:ind w:left="1560" w:hanging="284"/>
        <w:jc w:val="both"/>
        <w:rPr>
          <w:rFonts w:cs="Arial"/>
          <w:i/>
          <w:iCs/>
          <w:szCs w:val="24"/>
          <w:lang w:eastAsia="ar-SA"/>
        </w:rPr>
      </w:pPr>
      <w:r w:rsidRPr="00C775D1">
        <w:rPr>
          <w:rFonts w:cs="Arial"/>
          <w:i/>
          <w:iCs/>
          <w:szCs w:val="24"/>
          <w:lang w:eastAsia="ar-SA"/>
        </w:rPr>
        <w:t>Pregnancy and maternity</w:t>
      </w:r>
    </w:p>
    <w:p w14:paraId="125BF7AB" w14:textId="77777777" w:rsidR="003E4C35" w:rsidRPr="00C775D1" w:rsidRDefault="003E4C35">
      <w:pPr>
        <w:numPr>
          <w:ilvl w:val="0"/>
          <w:numId w:val="6"/>
        </w:numPr>
        <w:tabs>
          <w:tab w:val="clear" w:pos="348"/>
        </w:tabs>
        <w:suppressAutoHyphens/>
        <w:ind w:left="1560" w:hanging="284"/>
        <w:jc w:val="both"/>
        <w:rPr>
          <w:rFonts w:cs="Arial"/>
          <w:i/>
          <w:iCs/>
          <w:szCs w:val="24"/>
          <w:lang w:eastAsia="ar-SA"/>
        </w:rPr>
      </w:pPr>
      <w:r>
        <w:rPr>
          <w:rFonts w:cs="Arial"/>
          <w:i/>
          <w:iCs/>
          <w:szCs w:val="24"/>
          <w:lang w:eastAsia="ar-SA"/>
        </w:rPr>
        <w:t>Race</w:t>
      </w:r>
    </w:p>
    <w:p w14:paraId="6D3904C7" w14:textId="77777777" w:rsidR="003E4C35" w:rsidRPr="00C775D1" w:rsidRDefault="003E4C35">
      <w:pPr>
        <w:numPr>
          <w:ilvl w:val="0"/>
          <w:numId w:val="6"/>
        </w:numPr>
        <w:tabs>
          <w:tab w:val="clear" w:pos="348"/>
        </w:tabs>
        <w:suppressAutoHyphens/>
        <w:ind w:left="1560" w:hanging="284"/>
        <w:jc w:val="both"/>
        <w:rPr>
          <w:rFonts w:cs="Arial"/>
          <w:i/>
          <w:iCs/>
          <w:szCs w:val="24"/>
          <w:lang w:eastAsia="ar-SA"/>
        </w:rPr>
      </w:pPr>
      <w:r w:rsidRPr="00C775D1">
        <w:rPr>
          <w:rFonts w:cs="Arial"/>
          <w:i/>
          <w:iCs/>
          <w:szCs w:val="24"/>
          <w:lang w:eastAsia="ar-SA"/>
        </w:rPr>
        <w:t>Religion or belief</w:t>
      </w:r>
    </w:p>
    <w:p w14:paraId="3F794632" w14:textId="77777777" w:rsidR="003E4C35" w:rsidRPr="00C775D1" w:rsidRDefault="003E4C35">
      <w:pPr>
        <w:numPr>
          <w:ilvl w:val="0"/>
          <w:numId w:val="6"/>
        </w:numPr>
        <w:tabs>
          <w:tab w:val="clear" w:pos="348"/>
        </w:tabs>
        <w:suppressAutoHyphens/>
        <w:ind w:left="1560" w:hanging="284"/>
        <w:jc w:val="both"/>
        <w:rPr>
          <w:rFonts w:cs="Arial"/>
          <w:i/>
          <w:iCs/>
          <w:szCs w:val="24"/>
          <w:lang w:eastAsia="ar-SA"/>
        </w:rPr>
      </w:pPr>
      <w:r w:rsidRPr="00C775D1">
        <w:rPr>
          <w:rFonts w:cs="Arial"/>
          <w:i/>
          <w:iCs/>
          <w:szCs w:val="24"/>
          <w:lang w:eastAsia="ar-SA"/>
        </w:rPr>
        <w:t>Sex</w:t>
      </w:r>
    </w:p>
    <w:p w14:paraId="2A86C867" w14:textId="77777777" w:rsidR="003E4C35" w:rsidRPr="00C775D1" w:rsidRDefault="003E4C35">
      <w:pPr>
        <w:numPr>
          <w:ilvl w:val="0"/>
          <w:numId w:val="6"/>
        </w:numPr>
        <w:tabs>
          <w:tab w:val="clear" w:pos="348"/>
        </w:tabs>
        <w:suppressAutoHyphens/>
        <w:ind w:left="1560" w:hanging="284"/>
        <w:jc w:val="both"/>
        <w:rPr>
          <w:rFonts w:cs="Arial"/>
          <w:i/>
          <w:iCs/>
          <w:szCs w:val="24"/>
          <w:lang w:eastAsia="ar-SA"/>
        </w:rPr>
      </w:pPr>
      <w:r w:rsidRPr="00C775D1">
        <w:rPr>
          <w:rFonts w:cs="Arial"/>
          <w:i/>
          <w:iCs/>
          <w:szCs w:val="24"/>
          <w:lang w:eastAsia="ar-SA"/>
        </w:rPr>
        <w:t>Sexual orientation</w:t>
      </w:r>
    </w:p>
    <w:p w14:paraId="0FC2E1E6" w14:textId="77777777" w:rsidR="003E4C35" w:rsidRPr="00C775D1" w:rsidRDefault="003E4C35">
      <w:pPr>
        <w:numPr>
          <w:ilvl w:val="0"/>
          <w:numId w:val="6"/>
        </w:numPr>
        <w:tabs>
          <w:tab w:val="clear" w:pos="348"/>
        </w:tabs>
        <w:suppressAutoHyphens/>
        <w:ind w:left="1560" w:hanging="284"/>
        <w:jc w:val="both"/>
        <w:rPr>
          <w:rFonts w:cs="Arial"/>
          <w:lang w:eastAsia="ar-SA"/>
        </w:rPr>
      </w:pPr>
      <w:r w:rsidRPr="00C775D1">
        <w:rPr>
          <w:rFonts w:cs="Arial"/>
          <w:i/>
          <w:iCs/>
          <w:szCs w:val="24"/>
          <w:lang w:eastAsia="ar-SA"/>
        </w:rPr>
        <w:t>Marriage and Civil partnership</w:t>
      </w:r>
    </w:p>
    <w:p w14:paraId="4260FD29" w14:textId="77777777" w:rsidR="003E4C35" w:rsidRPr="00C775D1" w:rsidRDefault="003E4C35" w:rsidP="003E4C35">
      <w:pPr>
        <w:ind w:left="1560" w:hanging="284"/>
        <w:jc w:val="both"/>
      </w:pPr>
    </w:p>
    <w:p w14:paraId="132244E9" w14:textId="6BE83923" w:rsidR="00FE17E2" w:rsidRPr="00E2227D" w:rsidRDefault="003E4C35">
      <w:pPr>
        <w:pStyle w:val="Default"/>
        <w:numPr>
          <w:ilvl w:val="0"/>
          <w:numId w:val="16"/>
        </w:numPr>
        <w:ind w:left="567" w:hanging="567"/>
        <w:rPr>
          <w:rStyle w:val="eop"/>
          <w:rFonts w:ascii="Arial" w:hAnsi="Arial" w:cs="Arial"/>
          <w:color w:val="auto"/>
        </w:rPr>
      </w:pPr>
      <w:r w:rsidRPr="003E4C35">
        <w:rPr>
          <w:rFonts w:ascii="Arial" w:hAnsi="Arial" w:cs="Arial"/>
        </w:rPr>
        <w:t xml:space="preserve">Harrow </w:t>
      </w:r>
      <w:r>
        <w:rPr>
          <w:rFonts w:ascii="Arial" w:hAnsi="Arial" w:cs="Arial"/>
        </w:rPr>
        <w:t xml:space="preserve">commissions care and support services </w:t>
      </w:r>
      <w:r w:rsidR="00E2227D">
        <w:rPr>
          <w:rFonts w:ascii="Arial" w:hAnsi="Arial" w:cs="Arial"/>
        </w:rPr>
        <w:t xml:space="preserve">that are of good quality, </w:t>
      </w:r>
      <w:r w:rsidRPr="003E4C35">
        <w:rPr>
          <w:rFonts w:ascii="Arial" w:hAnsi="Arial" w:cs="Arial"/>
        </w:rPr>
        <w:t xml:space="preserve">inclusive and provide a diversity of provision.  </w:t>
      </w:r>
      <w:r w:rsidR="00E2227D">
        <w:rPr>
          <w:rFonts w:ascii="Arial" w:hAnsi="Arial" w:cs="Arial"/>
        </w:rPr>
        <w:t>The increased funding will sustain provision for those residents with</w:t>
      </w:r>
      <w:r w:rsidRPr="003E4C35">
        <w:rPr>
          <w:rFonts w:ascii="Arial" w:hAnsi="Arial" w:cs="Arial"/>
        </w:rPr>
        <w:t xml:space="preserve"> protected characteristics. </w:t>
      </w:r>
      <w:r w:rsidR="00E2227D">
        <w:rPr>
          <w:rFonts w:ascii="Arial" w:hAnsi="Arial" w:cs="Arial"/>
        </w:rPr>
        <w:t xml:space="preserve">This will enable more residents to remain in Harrow. </w:t>
      </w:r>
      <w:r w:rsidRPr="003E4C35">
        <w:rPr>
          <w:rFonts w:ascii="Arial" w:hAnsi="Arial" w:cs="Arial"/>
        </w:rPr>
        <w:t xml:space="preserve">A </w:t>
      </w:r>
      <w:r w:rsidR="00D23061" w:rsidRPr="003E4C35">
        <w:rPr>
          <w:rFonts w:ascii="Arial" w:hAnsi="Arial" w:cs="Arial"/>
        </w:rPr>
        <w:t>high-level</w:t>
      </w:r>
      <w:r w:rsidRPr="003E4C35">
        <w:rPr>
          <w:rFonts w:ascii="Arial" w:hAnsi="Arial" w:cs="Arial"/>
        </w:rPr>
        <w:t xml:space="preserve"> equality impact assessment has been undertaken and has shown a positive impact for the protected characteristics</w:t>
      </w:r>
      <w:r w:rsidR="00E2227D">
        <w:rPr>
          <w:rFonts w:ascii="Arial" w:hAnsi="Arial" w:cs="Arial"/>
        </w:rPr>
        <w:t xml:space="preserve">. Further development of the provider market is required to ensure that there is a continuum of provision to meet needs and the demographic profile of Harrow residents. </w:t>
      </w:r>
    </w:p>
    <w:p w14:paraId="735D81F2" w14:textId="77777777" w:rsidR="00377569" w:rsidRPr="00AF31F7" w:rsidRDefault="00377569" w:rsidP="00AF31F7">
      <w:pPr>
        <w:pStyle w:val="Heading4"/>
        <w:spacing w:before="480"/>
        <w:rPr>
          <w:sz w:val="28"/>
          <w:szCs w:val="28"/>
        </w:rPr>
      </w:pPr>
      <w:r w:rsidRPr="00AF31F7">
        <w:rPr>
          <w:sz w:val="28"/>
          <w:szCs w:val="28"/>
        </w:rPr>
        <w:t>Council Priorities</w:t>
      </w:r>
    </w:p>
    <w:p w14:paraId="654F216A" w14:textId="77777777" w:rsidR="00377569" w:rsidRDefault="00377569" w:rsidP="00377569">
      <w:pPr>
        <w:rPr>
          <w:rFonts w:cs="Arial"/>
          <w:szCs w:val="24"/>
          <w:lang w:val="en-US"/>
        </w:rPr>
      </w:pPr>
    </w:p>
    <w:p w14:paraId="5BBF73E4" w14:textId="3E512BCD" w:rsidR="00E2227D" w:rsidRPr="00752110" w:rsidRDefault="00E2227D">
      <w:pPr>
        <w:pStyle w:val="ListParagraph"/>
        <w:numPr>
          <w:ilvl w:val="0"/>
          <w:numId w:val="16"/>
        </w:numPr>
        <w:ind w:left="567" w:hanging="567"/>
      </w:pPr>
      <w:r w:rsidRPr="009A2084">
        <w:rPr>
          <w:rFonts w:cs="Arial"/>
          <w:szCs w:val="24"/>
          <w:lang w:val="en-US"/>
        </w:rPr>
        <w:t>The recommendation contribute</w:t>
      </w:r>
      <w:r>
        <w:rPr>
          <w:rFonts w:cs="Arial"/>
          <w:szCs w:val="24"/>
          <w:lang w:val="en-US"/>
        </w:rPr>
        <w:t>s</w:t>
      </w:r>
      <w:r w:rsidRPr="009A2084">
        <w:rPr>
          <w:rFonts w:cs="Arial"/>
          <w:szCs w:val="24"/>
          <w:lang w:val="en-US"/>
        </w:rPr>
        <w:t xml:space="preserve"> to the Council’s priorities: </w:t>
      </w:r>
      <w:r w:rsidR="0033309A">
        <w:rPr>
          <w:rFonts w:cs="Arial"/>
          <w:szCs w:val="24"/>
          <w:lang w:val="en-US"/>
        </w:rPr>
        <w:t>“</w:t>
      </w:r>
      <w:r w:rsidRPr="00752110">
        <w:t>A council that puts residents first</w:t>
      </w:r>
      <w:r w:rsidR="0033309A">
        <w:t xml:space="preserve">” </w:t>
      </w:r>
      <w:r>
        <w:t xml:space="preserve">and </w:t>
      </w:r>
      <w:r w:rsidR="0033309A">
        <w:t>“</w:t>
      </w:r>
      <w:r>
        <w:t>A</w:t>
      </w:r>
      <w:r w:rsidRPr="00752110">
        <w:t xml:space="preserve"> place where those in need are supported</w:t>
      </w:r>
      <w:r w:rsidR="0033309A">
        <w:t>”.</w:t>
      </w:r>
    </w:p>
    <w:p w14:paraId="5514D939" w14:textId="77777777" w:rsidR="00333FAA" w:rsidRDefault="00333FAA" w:rsidP="000B7C66">
      <w:pPr>
        <w:pStyle w:val="Heading2"/>
        <w:spacing w:before="480" w:after="240"/>
      </w:pPr>
      <w:r>
        <w:lastRenderedPageBreak/>
        <w:t>Section 3 - Statutory Officer Clearance</w:t>
      </w:r>
    </w:p>
    <w:p w14:paraId="3B5D52F9" w14:textId="735FEA41" w:rsidR="00A66326" w:rsidRPr="00A66326" w:rsidRDefault="00A66326" w:rsidP="00A66326">
      <w:pPr>
        <w:rPr>
          <w:sz w:val="28"/>
        </w:rPr>
      </w:pPr>
      <w:r w:rsidRPr="00A66326">
        <w:rPr>
          <w:b/>
          <w:sz w:val="28"/>
        </w:rPr>
        <w:t xml:space="preserve">Statutory Officer: </w:t>
      </w:r>
      <w:r w:rsidR="00E2227D">
        <w:rPr>
          <w:b/>
          <w:sz w:val="28"/>
        </w:rPr>
        <w:t>Dawn Calvert</w:t>
      </w:r>
    </w:p>
    <w:p w14:paraId="06450070" w14:textId="41AAC270" w:rsidR="00A66326" w:rsidRPr="00A66326" w:rsidRDefault="00A66326" w:rsidP="00A66326">
      <w:r w:rsidRPr="00A66326">
        <w:t>Signed by the Chief Financial Officer</w:t>
      </w:r>
    </w:p>
    <w:p w14:paraId="555021EF" w14:textId="7FAD7736" w:rsidR="00A66326" w:rsidRPr="00A66326" w:rsidRDefault="00A66326" w:rsidP="00A66326">
      <w:pPr>
        <w:spacing w:after="480"/>
        <w:rPr>
          <w:sz w:val="28"/>
        </w:rPr>
      </w:pPr>
      <w:r w:rsidRPr="00A66326">
        <w:rPr>
          <w:b/>
          <w:sz w:val="28"/>
        </w:rPr>
        <w:t xml:space="preserve">Date: </w:t>
      </w:r>
      <w:r w:rsidR="00343FB0">
        <w:rPr>
          <w:b/>
          <w:sz w:val="28"/>
        </w:rPr>
        <w:t>15</w:t>
      </w:r>
      <w:r w:rsidR="00343FB0" w:rsidRPr="00343FB0">
        <w:rPr>
          <w:b/>
          <w:sz w:val="28"/>
          <w:vertAlign w:val="superscript"/>
        </w:rPr>
        <w:t>th</w:t>
      </w:r>
      <w:r w:rsidR="00343FB0">
        <w:rPr>
          <w:b/>
          <w:sz w:val="28"/>
        </w:rPr>
        <w:t xml:space="preserve"> June 2023</w:t>
      </w:r>
      <w:r w:rsidRPr="00A66326">
        <w:rPr>
          <w:b/>
          <w:sz w:val="28"/>
        </w:rPr>
        <w:t xml:space="preserve"> </w:t>
      </w:r>
    </w:p>
    <w:p w14:paraId="7E329E85" w14:textId="59C25FF3" w:rsidR="00A66326" w:rsidRPr="00A66326" w:rsidRDefault="00A66326" w:rsidP="00A66326">
      <w:pPr>
        <w:rPr>
          <w:sz w:val="28"/>
        </w:rPr>
      </w:pPr>
      <w:r w:rsidRPr="00A66326">
        <w:rPr>
          <w:b/>
          <w:sz w:val="28"/>
        </w:rPr>
        <w:t xml:space="preserve">Statutory Officer: </w:t>
      </w:r>
      <w:r w:rsidR="00BB559E">
        <w:rPr>
          <w:b/>
          <w:sz w:val="28"/>
        </w:rPr>
        <w:t>Sharon Clarke</w:t>
      </w:r>
    </w:p>
    <w:p w14:paraId="76F84634" w14:textId="731D48EB" w:rsidR="00A66326" w:rsidRPr="00A66326" w:rsidRDefault="00A66326" w:rsidP="00A66326">
      <w:r w:rsidRPr="00A66326">
        <w:t>Signed on behalf of the Monitoring Officer</w:t>
      </w:r>
    </w:p>
    <w:p w14:paraId="1AC0D358" w14:textId="3F987439" w:rsidR="00A66326" w:rsidRPr="003313EA" w:rsidRDefault="00A66326" w:rsidP="00A66326">
      <w:pPr>
        <w:spacing w:after="480"/>
        <w:rPr>
          <w:sz w:val="28"/>
        </w:rPr>
      </w:pPr>
      <w:r w:rsidRPr="00A66326">
        <w:rPr>
          <w:b/>
          <w:sz w:val="28"/>
        </w:rPr>
        <w:t xml:space="preserve">Date:  </w:t>
      </w:r>
      <w:r w:rsidR="00BB559E">
        <w:rPr>
          <w:b/>
          <w:sz w:val="28"/>
        </w:rPr>
        <w:t>12</w:t>
      </w:r>
      <w:r w:rsidR="00B23445" w:rsidRPr="00B23445">
        <w:rPr>
          <w:b/>
          <w:sz w:val="28"/>
          <w:vertAlign w:val="superscript"/>
        </w:rPr>
        <w:t>th</w:t>
      </w:r>
      <w:r w:rsidR="00BB559E">
        <w:rPr>
          <w:b/>
          <w:sz w:val="28"/>
        </w:rPr>
        <w:t xml:space="preserve"> June 2023</w:t>
      </w:r>
    </w:p>
    <w:p w14:paraId="31D8FA55" w14:textId="30AD3E6A" w:rsidR="00BF5AFA" w:rsidRPr="00A66326" w:rsidRDefault="00BF5AFA" w:rsidP="00BF5AFA">
      <w:pPr>
        <w:rPr>
          <w:sz w:val="28"/>
        </w:rPr>
      </w:pPr>
      <w:r>
        <w:rPr>
          <w:b/>
          <w:sz w:val="28"/>
        </w:rPr>
        <w:t>Chief</w:t>
      </w:r>
      <w:r w:rsidRPr="00A66326">
        <w:rPr>
          <w:b/>
          <w:sz w:val="28"/>
        </w:rPr>
        <w:t xml:space="preserve"> Officer:  </w:t>
      </w:r>
      <w:r w:rsidR="00E2227D">
        <w:rPr>
          <w:b/>
          <w:sz w:val="28"/>
        </w:rPr>
        <w:t>Senel Arkut</w:t>
      </w:r>
    </w:p>
    <w:p w14:paraId="34A60057" w14:textId="62517738" w:rsidR="00BF5AFA" w:rsidRPr="00A66326" w:rsidRDefault="00BF5AFA" w:rsidP="00BF5AFA">
      <w:pPr>
        <w:rPr>
          <w:sz w:val="28"/>
        </w:rPr>
      </w:pPr>
      <w:r w:rsidRPr="00A66326">
        <w:t xml:space="preserve">Signed </w:t>
      </w:r>
      <w:r>
        <w:t>off by the Corporate Director</w:t>
      </w:r>
    </w:p>
    <w:p w14:paraId="5F67CDF0" w14:textId="70229F63" w:rsidR="00BF5AFA" w:rsidRPr="00A66326" w:rsidRDefault="00BF5AFA" w:rsidP="00BF5AFA">
      <w:pPr>
        <w:spacing w:after="480"/>
        <w:rPr>
          <w:sz w:val="28"/>
        </w:rPr>
      </w:pPr>
      <w:r w:rsidRPr="00A66326">
        <w:rPr>
          <w:b/>
          <w:sz w:val="28"/>
        </w:rPr>
        <w:t xml:space="preserve">Date:  </w:t>
      </w:r>
      <w:r w:rsidR="00B23445">
        <w:rPr>
          <w:b/>
          <w:sz w:val="28"/>
        </w:rPr>
        <w:t>15</w:t>
      </w:r>
      <w:r w:rsidR="00B23445" w:rsidRPr="00B23445">
        <w:rPr>
          <w:b/>
          <w:sz w:val="28"/>
          <w:vertAlign w:val="superscript"/>
        </w:rPr>
        <w:t>th</w:t>
      </w:r>
      <w:r w:rsidR="00B23445">
        <w:rPr>
          <w:b/>
          <w:sz w:val="28"/>
        </w:rPr>
        <w:t xml:space="preserve"> June 2023</w:t>
      </w:r>
    </w:p>
    <w:p w14:paraId="2C546334" w14:textId="08D776B7" w:rsidR="00BF5AFA" w:rsidRPr="00A66326" w:rsidRDefault="00BF5AFA" w:rsidP="00BF5AFA">
      <w:pPr>
        <w:rPr>
          <w:sz w:val="28"/>
        </w:rPr>
      </w:pPr>
      <w:r>
        <w:rPr>
          <w:b/>
          <w:sz w:val="28"/>
        </w:rPr>
        <w:t>Head of Procurement</w:t>
      </w:r>
      <w:r w:rsidRPr="00A66326">
        <w:rPr>
          <w:b/>
          <w:sz w:val="28"/>
        </w:rPr>
        <w:t xml:space="preserve">: </w:t>
      </w:r>
      <w:r w:rsidR="00B23445">
        <w:rPr>
          <w:b/>
          <w:sz w:val="28"/>
        </w:rPr>
        <w:t>Nimesh Me</w:t>
      </w:r>
      <w:r w:rsidR="00A0308E">
        <w:rPr>
          <w:b/>
          <w:sz w:val="28"/>
        </w:rPr>
        <w:t>ht</w:t>
      </w:r>
      <w:r w:rsidR="00B23445">
        <w:rPr>
          <w:b/>
          <w:sz w:val="28"/>
        </w:rPr>
        <w:t>a</w:t>
      </w:r>
      <w:r w:rsidRPr="00A66326">
        <w:rPr>
          <w:b/>
          <w:sz w:val="28"/>
        </w:rPr>
        <w:t xml:space="preserve"> </w:t>
      </w:r>
    </w:p>
    <w:p w14:paraId="3C6E94C3" w14:textId="16C2DE96" w:rsidR="00BF5AFA" w:rsidRPr="00A66326" w:rsidRDefault="00BF5AFA" w:rsidP="00BF5AFA">
      <w:r w:rsidRPr="00A66326">
        <w:t xml:space="preserve">Signed by the </w:t>
      </w:r>
      <w:r>
        <w:t>Head of Procurement</w:t>
      </w:r>
    </w:p>
    <w:p w14:paraId="5A683B65" w14:textId="0AF0A29E" w:rsidR="00BF5AFA" w:rsidRPr="003313EA" w:rsidRDefault="00BF5AFA" w:rsidP="00BF5AFA">
      <w:pPr>
        <w:spacing w:after="480"/>
        <w:rPr>
          <w:sz w:val="28"/>
        </w:rPr>
      </w:pPr>
      <w:r w:rsidRPr="00A66326">
        <w:rPr>
          <w:b/>
          <w:sz w:val="28"/>
        </w:rPr>
        <w:t xml:space="preserve">Date:  </w:t>
      </w:r>
      <w:r w:rsidR="00B23445">
        <w:rPr>
          <w:b/>
          <w:sz w:val="28"/>
        </w:rPr>
        <w:t>15</w:t>
      </w:r>
      <w:r w:rsidR="00B23445" w:rsidRPr="00B23445">
        <w:rPr>
          <w:b/>
          <w:sz w:val="28"/>
          <w:vertAlign w:val="superscript"/>
        </w:rPr>
        <w:t>th</w:t>
      </w:r>
      <w:r w:rsidR="00B23445">
        <w:rPr>
          <w:b/>
          <w:sz w:val="28"/>
        </w:rPr>
        <w:t xml:space="preserve"> June 2023</w:t>
      </w:r>
    </w:p>
    <w:p w14:paraId="113297A5" w14:textId="0657C8FD" w:rsidR="00BF5AFA" w:rsidRPr="00A66326" w:rsidRDefault="00BF5AFA" w:rsidP="00BF5AFA">
      <w:pPr>
        <w:rPr>
          <w:sz w:val="28"/>
        </w:rPr>
      </w:pPr>
      <w:r>
        <w:rPr>
          <w:b/>
          <w:sz w:val="28"/>
        </w:rPr>
        <w:t>Head of Internal Audit</w:t>
      </w:r>
      <w:r w:rsidRPr="00A66326">
        <w:rPr>
          <w:b/>
          <w:sz w:val="28"/>
        </w:rPr>
        <w:t xml:space="preserve">:  </w:t>
      </w:r>
      <w:r w:rsidR="00E2227D">
        <w:rPr>
          <w:b/>
          <w:sz w:val="28"/>
        </w:rPr>
        <w:t>Neale Burns</w:t>
      </w:r>
    </w:p>
    <w:p w14:paraId="5CF04A24" w14:textId="12BDDE08" w:rsidR="00BF5AFA" w:rsidRPr="00A66326" w:rsidRDefault="00BF5AFA" w:rsidP="00BF5AFA">
      <w:r w:rsidRPr="00A66326">
        <w:t xml:space="preserve">Signed on behalf of the </w:t>
      </w:r>
      <w:r>
        <w:t>Head of Internal Audit</w:t>
      </w:r>
    </w:p>
    <w:p w14:paraId="065BF29C" w14:textId="329F3DF6" w:rsidR="00BF5AFA" w:rsidRPr="00F42E1E" w:rsidRDefault="00BF5AFA" w:rsidP="00BF5AFA">
      <w:pPr>
        <w:pStyle w:val="Heading2"/>
        <w:spacing w:after="240"/>
        <w:rPr>
          <w:rFonts w:ascii="Arial" w:hAnsi="Arial"/>
          <w:sz w:val="28"/>
        </w:rPr>
      </w:pPr>
      <w:r w:rsidRPr="00F42E1E">
        <w:rPr>
          <w:rFonts w:ascii="Arial" w:hAnsi="Arial"/>
          <w:sz w:val="28"/>
        </w:rPr>
        <w:t>Date:</w:t>
      </w:r>
      <w:r w:rsidR="00006F64">
        <w:rPr>
          <w:rFonts w:ascii="Arial" w:hAnsi="Arial"/>
          <w:sz w:val="28"/>
        </w:rPr>
        <w:t>15</w:t>
      </w:r>
      <w:r w:rsidR="00006F64" w:rsidRPr="00B23445">
        <w:rPr>
          <w:rFonts w:ascii="Arial" w:hAnsi="Arial"/>
          <w:sz w:val="28"/>
          <w:vertAlign w:val="superscript"/>
        </w:rPr>
        <w:t>th</w:t>
      </w:r>
      <w:r w:rsidR="00006F64">
        <w:rPr>
          <w:rFonts w:ascii="Arial" w:hAnsi="Arial"/>
          <w:sz w:val="28"/>
        </w:rPr>
        <w:t xml:space="preserve"> June 2023</w:t>
      </w:r>
    </w:p>
    <w:p w14:paraId="04C352A5" w14:textId="77777777" w:rsidR="00F42E1E" w:rsidRDefault="00F42E1E" w:rsidP="00F42E1E"/>
    <w:p w14:paraId="236185B6" w14:textId="07B01E0C" w:rsidR="00F42E1E" w:rsidRPr="00F42E1E" w:rsidRDefault="00F42E1E" w:rsidP="00F42E1E">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D23061">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64551188" w14:textId="0A7D5AF9"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A2D9472" w14:textId="0617C72C"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4F889984" w14:textId="77777777" w:rsidR="00E2227D" w:rsidRDefault="00E2227D" w:rsidP="003313EA">
      <w:pPr>
        <w:pStyle w:val="Infotext"/>
        <w:rPr>
          <w:i/>
          <w:color w:val="FF0000"/>
          <w:sz w:val="24"/>
          <w:szCs w:val="24"/>
        </w:rPr>
      </w:pPr>
    </w:p>
    <w:p w14:paraId="7325CCEC" w14:textId="053ED399" w:rsidR="00E2227D" w:rsidRPr="009A2084" w:rsidRDefault="00E2227D" w:rsidP="00E2227D">
      <w:pPr>
        <w:pStyle w:val="Heading3"/>
        <w:ind w:left="0" w:firstLine="0"/>
        <w:jc w:val="left"/>
        <w:rPr>
          <w:b w:val="0"/>
          <w:bCs w:val="0"/>
        </w:rPr>
      </w:pPr>
      <w:r w:rsidRPr="009A2084">
        <w:rPr>
          <w:b w:val="0"/>
          <w:bCs w:val="0"/>
        </w:rPr>
        <w:t xml:space="preserve">An EQIA was not completed because this increase applies to all </w:t>
      </w:r>
      <w:r>
        <w:rPr>
          <w:b w:val="0"/>
          <w:bCs w:val="0"/>
        </w:rPr>
        <w:t>providers in Harrow</w:t>
      </w:r>
      <w:r w:rsidRPr="009A2084">
        <w:rPr>
          <w:b w:val="0"/>
          <w:bCs w:val="0"/>
        </w:rPr>
        <w:t xml:space="preserve"> and there are no negative implications.</w:t>
      </w:r>
    </w:p>
    <w:p w14:paraId="6B589F3A" w14:textId="11813804" w:rsidR="003313EA" w:rsidRPr="00417CF4" w:rsidRDefault="003313EA" w:rsidP="00E2227D">
      <w:pPr>
        <w:pStyle w:val="Heading3"/>
        <w:spacing w:before="240"/>
        <w:ind w:left="0" w:firstLine="0"/>
        <w:jc w:val="left"/>
      </w:pPr>
      <w:r w:rsidRPr="00202D79">
        <w:t>EqIA cleared by:</w:t>
      </w:r>
      <w:r>
        <w:t xml:space="preserve">  </w:t>
      </w:r>
      <w:r w:rsidR="00417CF4">
        <w:t>N/A</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4759BBB6" w14:textId="77777777" w:rsidR="00713386" w:rsidRPr="00D23061" w:rsidRDefault="00333FAA" w:rsidP="00713386">
      <w:pPr>
        <w:rPr>
          <w:rFonts w:cs="Arial"/>
          <w:sz w:val="28"/>
          <w:szCs w:val="28"/>
        </w:rPr>
      </w:pPr>
      <w:r w:rsidRPr="004E47FC">
        <w:rPr>
          <w:b/>
        </w:rPr>
        <w:t xml:space="preserve">Contact:  </w:t>
      </w:r>
      <w:r w:rsidR="00713386" w:rsidRPr="00D23061">
        <w:rPr>
          <w:rFonts w:cs="Arial"/>
          <w:sz w:val="28"/>
          <w:szCs w:val="28"/>
        </w:rPr>
        <w:t>Johanna Morgan, Director, People Services Strategy and Commissioning, People Services Directorate</w:t>
      </w:r>
    </w:p>
    <w:p w14:paraId="2DA968FF" w14:textId="77777777" w:rsidR="00713386" w:rsidRPr="00D23061" w:rsidRDefault="00D23061" w:rsidP="00713386">
      <w:pPr>
        <w:pStyle w:val="Infotext"/>
        <w:spacing w:after="240"/>
        <w:rPr>
          <w:rStyle w:val="Hyperlink"/>
          <w:szCs w:val="28"/>
        </w:rPr>
      </w:pPr>
      <w:hyperlink r:id="rId13" w:history="1">
        <w:r w:rsidR="00713386" w:rsidRPr="00D23061">
          <w:rPr>
            <w:rStyle w:val="Hyperlink"/>
            <w:szCs w:val="28"/>
          </w:rPr>
          <w:t>Johanna.morgan@harrow,gov.uk</w:t>
        </w:r>
      </w:hyperlink>
    </w:p>
    <w:p w14:paraId="77C58D4B" w14:textId="3A4DFA2E" w:rsidR="00333FAA" w:rsidRDefault="00333FAA" w:rsidP="00713386">
      <w:pPr>
        <w:pStyle w:val="Infotext"/>
        <w:spacing w:after="240"/>
        <w:rPr>
          <w:b/>
        </w:rPr>
      </w:pPr>
      <w:r w:rsidRPr="004E47FC">
        <w:rPr>
          <w:b/>
        </w:rPr>
        <w:lastRenderedPageBreak/>
        <w:t xml:space="preserve">Background Papers: </w:t>
      </w:r>
      <w:r w:rsidR="005808FB">
        <w:rPr>
          <w:b/>
        </w:rPr>
        <w:t xml:space="preserve"> </w:t>
      </w:r>
      <w:r w:rsidR="00713386" w:rsidRPr="00417CF4">
        <w:t>None</w:t>
      </w:r>
    </w:p>
    <w:p w14:paraId="7C8FEB52" w14:textId="24E7FE46"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D23061">
        <w:rPr>
          <w:rFonts w:ascii="Arial Black" w:hAnsi="Arial Black"/>
        </w:rPr>
        <w:t xml:space="preserve"> - NO</w:t>
      </w:r>
    </w:p>
    <w:sectPr w:rsidR="00842757" w:rsidRPr="007C0DC3" w:rsidSect="001614E0">
      <w:headerReference w:type="even" r:id="rId14"/>
      <w:headerReference w:type="default" r:id="rId15"/>
      <w:footerReference w:type="even" r:id="rId16"/>
      <w:footerReference w:type="default" r:id="rId17"/>
      <w:headerReference w:type="first" r:id="rId18"/>
      <w:footerReference w:type="first" r:id="rId19"/>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C11E5" w14:textId="77777777" w:rsidR="007E21EA" w:rsidRDefault="007E21EA">
      <w:r>
        <w:separator/>
      </w:r>
    </w:p>
  </w:endnote>
  <w:endnote w:type="continuationSeparator" w:id="0">
    <w:p w14:paraId="6602C69B" w14:textId="77777777" w:rsidR="007E21EA" w:rsidRDefault="007E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C424" w14:textId="77777777" w:rsidR="0033309A" w:rsidRDefault="00333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627D" w14:textId="77777777" w:rsidR="0033309A" w:rsidRDefault="00333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CA7A" w14:textId="77777777" w:rsidR="0033309A" w:rsidRDefault="00333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E465F" w14:textId="77777777" w:rsidR="007E21EA" w:rsidRDefault="007E21EA">
      <w:r>
        <w:separator/>
      </w:r>
    </w:p>
  </w:footnote>
  <w:footnote w:type="continuationSeparator" w:id="0">
    <w:p w14:paraId="26548AD9" w14:textId="77777777" w:rsidR="007E21EA" w:rsidRDefault="007E2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4595" w14:textId="77777777" w:rsidR="0033309A" w:rsidRDefault="00333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8C0F" w14:textId="0F9D0E96" w:rsidR="0033309A" w:rsidRDefault="00333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2C38" w14:textId="77777777" w:rsidR="0033309A" w:rsidRDefault="00333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7"/>
    <w:lvl w:ilvl="0">
      <w:start w:val="1"/>
      <w:numFmt w:val="bullet"/>
      <w:lvlText w:val=""/>
      <w:lvlJc w:val="left"/>
      <w:pPr>
        <w:tabs>
          <w:tab w:val="num" w:pos="348"/>
        </w:tabs>
        <w:ind w:left="348" w:hanging="360"/>
      </w:pPr>
      <w:rPr>
        <w:rFonts w:ascii="Symbol" w:hAnsi="Symbol" w:cs="Symbol"/>
        <w:color w:val="auto"/>
      </w:rPr>
    </w:lvl>
  </w:abstractNum>
  <w:abstractNum w:abstractNumId="1" w15:restartNumberingAfterBreak="0">
    <w:nsid w:val="0000000A"/>
    <w:multiLevelType w:val="multilevel"/>
    <w:tmpl w:val="0000000A"/>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7"/>
    <w:lvl w:ilvl="0">
      <w:start w:val="1"/>
      <w:numFmt w:val="lowerLetter"/>
      <w:lvlText w:val="(%1)"/>
      <w:lvlJc w:val="left"/>
      <w:pPr>
        <w:tabs>
          <w:tab w:val="num" w:pos="1080"/>
        </w:tabs>
        <w:ind w:left="1080" w:hanging="360"/>
      </w:pPr>
    </w:lvl>
  </w:abstractNum>
  <w:abstractNum w:abstractNumId="3" w15:restartNumberingAfterBreak="0">
    <w:nsid w:val="00000014"/>
    <w:multiLevelType w:val="singleLevel"/>
    <w:tmpl w:val="00000014"/>
    <w:name w:val="WW8Num36"/>
    <w:lvl w:ilvl="0">
      <w:start w:val="1"/>
      <w:numFmt w:val="lowerLetter"/>
      <w:lvlText w:val="(%1)"/>
      <w:lvlJc w:val="left"/>
      <w:pPr>
        <w:tabs>
          <w:tab w:val="num" w:pos="720"/>
        </w:tabs>
        <w:ind w:left="720" w:hanging="360"/>
      </w:pPr>
    </w:lvl>
  </w:abstractNum>
  <w:abstractNum w:abstractNumId="4" w15:restartNumberingAfterBreak="0">
    <w:nsid w:val="02301645"/>
    <w:multiLevelType w:val="hybridMultilevel"/>
    <w:tmpl w:val="4E14B1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630CA5"/>
    <w:multiLevelType w:val="hybridMultilevel"/>
    <w:tmpl w:val="486A85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A3036"/>
    <w:multiLevelType w:val="hybridMultilevel"/>
    <w:tmpl w:val="63BA553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BFE6932"/>
    <w:multiLevelType w:val="hybridMultilevel"/>
    <w:tmpl w:val="F5A0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45A18"/>
    <w:multiLevelType w:val="hybridMultilevel"/>
    <w:tmpl w:val="FCDA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B0E4C"/>
    <w:multiLevelType w:val="hybridMultilevel"/>
    <w:tmpl w:val="7C507E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1B37EDF"/>
    <w:multiLevelType w:val="hybridMultilevel"/>
    <w:tmpl w:val="0A60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74D96"/>
    <w:multiLevelType w:val="hybridMultilevel"/>
    <w:tmpl w:val="7388B4DA"/>
    <w:lvl w:ilvl="0" w:tplc="5D3679A0">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3" w15:restartNumberingAfterBreak="0">
    <w:nsid w:val="60A016BC"/>
    <w:multiLevelType w:val="hybridMultilevel"/>
    <w:tmpl w:val="BFE408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857082"/>
    <w:multiLevelType w:val="hybridMultilevel"/>
    <w:tmpl w:val="A75AD39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C669E7"/>
    <w:multiLevelType w:val="hybridMultilevel"/>
    <w:tmpl w:val="FB64B6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DE62224"/>
    <w:multiLevelType w:val="hybridMultilevel"/>
    <w:tmpl w:val="FFC6F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1591366">
    <w:abstractNumId w:val="10"/>
  </w:num>
  <w:num w:numId="2" w16cid:durableId="2004889095">
    <w:abstractNumId w:val="11"/>
  </w:num>
  <w:num w:numId="3" w16cid:durableId="223762374">
    <w:abstractNumId w:val="6"/>
  </w:num>
  <w:num w:numId="4" w16cid:durableId="693699083">
    <w:abstractNumId w:val="16"/>
  </w:num>
  <w:num w:numId="5" w16cid:durableId="1207260203">
    <w:abstractNumId w:val="15"/>
  </w:num>
  <w:num w:numId="6" w16cid:durableId="1376196201">
    <w:abstractNumId w:val="0"/>
  </w:num>
  <w:num w:numId="7" w16cid:durableId="1554459471">
    <w:abstractNumId w:val="1"/>
  </w:num>
  <w:num w:numId="8" w16cid:durableId="912591838">
    <w:abstractNumId w:val="2"/>
  </w:num>
  <w:num w:numId="9" w16cid:durableId="1849902979">
    <w:abstractNumId w:val="3"/>
  </w:num>
  <w:num w:numId="10" w16cid:durableId="1908419052">
    <w:abstractNumId w:val="8"/>
  </w:num>
  <w:num w:numId="11" w16cid:durableId="1072049297">
    <w:abstractNumId w:val="7"/>
  </w:num>
  <w:num w:numId="12" w16cid:durableId="397440084">
    <w:abstractNumId w:val="5"/>
  </w:num>
  <w:num w:numId="13" w16cid:durableId="949049355">
    <w:abstractNumId w:val="13"/>
  </w:num>
  <w:num w:numId="14" w16cid:durableId="1667246188">
    <w:abstractNumId w:val="4"/>
  </w:num>
  <w:num w:numId="15" w16cid:durableId="85812659">
    <w:abstractNumId w:val="9"/>
  </w:num>
  <w:num w:numId="16" w16cid:durableId="1427386406">
    <w:abstractNumId w:val="14"/>
  </w:num>
  <w:num w:numId="17" w16cid:durableId="147930198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6ECC"/>
    <w:rsid w:val="00006F64"/>
    <w:rsid w:val="0004029A"/>
    <w:rsid w:val="000474E3"/>
    <w:rsid w:val="0006034E"/>
    <w:rsid w:val="00063783"/>
    <w:rsid w:val="00073765"/>
    <w:rsid w:val="000929A6"/>
    <w:rsid w:val="00095FA1"/>
    <w:rsid w:val="000B5015"/>
    <w:rsid w:val="000B788F"/>
    <w:rsid w:val="000B7C66"/>
    <w:rsid w:val="000C6E90"/>
    <w:rsid w:val="000D4E36"/>
    <w:rsid w:val="000E62FE"/>
    <w:rsid w:val="00105B8A"/>
    <w:rsid w:val="001161E4"/>
    <w:rsid w:val="00125A26"/>
    <w:rsid w:val="001472A8"/>
    <w:rsid w:val="0015376F"/>
    <w:rsid w:val="001614E0"/>
    <w:rsid w:val="00171BD8"/>
    <w:rsid w:val="0017653E"/>
    <w:rsid w:val="00182B01"/>
    <w:rsid w:val="001840D2"/>
    <w:rsid w:val="001957FE"/>
    <w:rsid w:val="001966D7"/>
    <w:rsid w:val="001C4D2E"/>
    <w:rsid w:val="001C7E35"/>
    <w:rsid w:val="001D3ADD"/>
    <w:rsid w:val="001E3C06"/>
    <w:rsid w:val="001F0037"/>
    <w:rsid w:val="001F0BE9"/>
    <w:rsid w:val="00202D79"/>
    <w:rsid w:val="00205D2F"/>
    <w:rsid w:val="00215E8F"/>
    <w:rsid w:val="00221A93"/>
    <w:rsid w:val="002322BB"/>
    <w:rsid w:val="00242877"/>
    <w:rsid w:val="00251254"/>
    <w:rsid w:val="002548D1"/>
    <w:rsid w:val="0027283B"/>
    <w:rsid w:val="00277052"/>
    <w:rsid w:val="0028019B"/>
    <w:rsid w:val="00282E73"/>
    <w:rsid w:val="00283CAB"/>
    <w:rsid w:val="0028525A"/>
    <w:rsid w:val="002A3FEF"/>
    <w:rsid w:val="002A6D9C"/>
    <w:rsid w:val="002B54A6"/>
    <w:rsid w:val="002D5CA1"/>
    <w:rsid w:val="002E225A"/>
    <w:rsid w:val="002F3EE9"/>
    <w:rsid w:val="00307F76"/>
    <w:rsid w:val="00321FBB"/>
    <w:rsid w:val="00330832"/>
    <w:rsid w:val="003313EA"/>
    <w:rsid w:val="0033309A"/>
    <w:rsid w:val="00333FAA"/>
    <w:rsid w:val="003355D7"/>
    <w:rsid w:val="00343FB0"/>
    <w:rsid w:val="0036201C"/>
    <w:rsid w:val="00376768"/>
    <w:rsid w:val="00377569"/>
    <w:rsid w:val="00380F87"/>
    <w:rsid w:val="00384609"/>
    <w:rsid w:val="003C270D"/>
    <w:rsid w:val="003E4C35"/>
    <w:rsid w:val="003F200F"/>
    <w:rsid w:val="003F3AFD"/>
    <w:rsid w:val="004076C8"/>
    <w:rsid w:val="00417CF4"/>
    <w:rsid w:val="004207E3"/>
    <w:rsid w:val="00421A4C"/>
    <w:rsid w:val="004238C2"/>
    <w:rsid w:val="00435B5D"/>
    <w:rsid w:val="004363F7"/>
    <w:rsid w:val="0044525C"/>
    <w:rsid w:val="004553F1"/>
    <w:rsid w:val="00467820"/>
    <w:rsid w:val="00471C1F"/>
    <w:rsid w:val="004758CE"/>
    <w:rsid w:val="004809FA"/>
    <w:rsid w:val="004C2D09"/>
    <w:rsid w:val="004C4A75"/>
    <w:rsid w:val="004D2DA0"/>
    <w:rsid w:val="004E14A4"/>
    <w:rsid w:val="004F54BD"/>
    <w:rsid w:val="004F56C5"/>
    <w:rsid w:val="00506185"/>
    <w:rsid w:val="00531F5A"/>
    <w:rsid w:val="005354D0"/>
    <w:rsid w:val="0054172C"/>
    <w:rsid w:val="00543491"/>
    <w:rsid w:val="0054590F"/>
    <w:rsid w:val="005459EC"/>
    <w:rsid w:val="00563EA4"/>
    <w:rsid w:val="005718B5"/>
    <w:rsid w:val="005808FB"/>
    <w:rsid w:val="005811F8"/>
    <w:rsid w:val="00582605"/>
    <w:rsid w:val="00591016"/>
    <w:rsid w:val="005A1004"/>
    <w:rsid w:val="005B3F67"/>
    <w:rsid w:val="005D548F"/>
    <w:rsid w:val="005D6EF5"/>
    <w:rsid w:val="005E32FE"/>
    <w:rsid w:val="005E3A10"/>
    <w:rsid w:val="005E7509"/>
    <w:rsid w:val="00601D7F"/>
    <w:rsid w:val="00605A4C"/>
    <w:rsid w:val="00605AFC"/>
    <w:rsid w:val="0062741A"/>
    <w:rsid w:val="00637625"/>
    <w:rsid w:val="00645B8B"/>
    <w:rsid w:val="006524CD"/>
    <w:rsid w:val="00654185"/>
    <w:rsid w:val="00655044"/>
    <w:rsid w:val="00666922"/>
    <w:rsid w:val="00670F17"/>
    <w:rsid w:val="006710C7"/>
    <w:rsid w:val="006762E4"/>
    <w:rsid w:val="00696A83"/>
    <w:rsid w:val="006C580A"/>
    <w:rsid w:val="006D1E69"/>
    <w:rsid w:val="006F057C"/>
    <w:rsid w:val="006F22DA"/>
    <w:rsid w:val="006F2EB3"/>
    <w:rsid w:val="007112D1"/>
    <w:rsid w:val="007116B1"/>
    <w:rsid w:val="00713386"/>
    <w:rsid w:val="00714BEE"/>
    <w:rsid w:val="00721215"/>
    <w:rsid w:val="007400CF"/>
    <w:rsid w:val="007437A6"/>
    <w:rsid w:val="00777A97"/>
    <w:rsid w:val="00783877"/>
    <w:rsid w:val="007B23FC"/>
    <w:rsid w:val="007D0C1D"/>
    <w:rsid w:val="007D2000"/>
    <w:rsid w:val="007D4DBF"/>
    <w:rsid w:val="007E21EA"/>
    <w:rsid w:val="007E4732"/>
    <w:rsid w:val="007E4BA4"/>
    <w:rsid w:val="007F004E"/>
    <w:rsid w:val="007F335A"/>
    <w:rsid w:val="00803104"/>
    <w:rsid w:val="00812901"/>
    <w:rsid w:val="00826B9A"/>
    <w:rsid w:val="00842757"/>
    <w:rsid w:val="00843CC2"/>
    <w:rsid w:val="0085266D"/>
    <w:rsid w:val="008A5AA0"/>
    <w:rsid w:val="008D3E6E"/>
    <w:rsid w:val="008E224D"/>
    <w:rsid w:val="0092530B"/>
    <w:rsid w:val="009341A6"/>
    <w:rsid w:val="0094208C"/>
    <w:rsid w:val="00942F17"/>
    <w:rsid w:val="00943236"/>
    <w:rsid w:val="00952CEF"/>
    <w:rsid w:val="00955421"/>
    <w:rsid w:val="00990E9C"/>
    <w:rsid w:val="00994542"/>
    <w:rsid w:val="00994908"/>
    <w:rsid w:val="009B160B"/>
    <w:rsid w:val="009C237B"/>
    <w:rsid w:val="009C4DD1"/>
    <w:rsid w:val="009E5A93"/>
    <w:rsid w:val="009F3154"/>
    <w:rsid w:val="00A0308E"/>
    <w:rsid w:val="00A1211C"/>
    <w:rsid w:val="00A16DDC"/>
    <w:rsid w:val="00A20113"/>
    <w:rsid w:val="00A20D78"/>
    <w:rsid w:val="00A2215F"/>
    <w:rsid w:val="00A22839"/>
    <w:rsid w:val="00A23E19"/>
    <w:rsid w:val="00A33185"/>
    <w:rsid w:val="00A53B04"/>
    <w:rsid w:val="00A661F4"/>
    <w:rsid w:val="00A66326"/>
    <w:rsid w:val="00A7271A"/>
    <w:rsid w:val="00A74D79"/>
    <w:rsid w:val="00A81E19"/>
    <w:rsid w:val="00A9723B"/>
    <w:rsid w:val="00AB795F"/>
    <w:rsid w:val="00AC6312"/>
    <w:rsid w:val="00AD1E77"/>
    <w:rsid w:val="00AD6D80"/>
    <w:rsid w:val="00AF31F7"/>
    <w:rsid w:val="00B008A4"/>
    <w:rsid w:val="00B05018"/>
    <w:rsid w:val="00B05CE4"/>
    <w:rsid w:val="00B1160D"/>
    <w:rsid w:val="00B139FB"/>
    <w:rsid w:val="00B23445"/>
    <w:rsid w:val="00B444E6"/>
    <w:rsid w:val="00B52011"/>
    <w:rsid w:val="00B53EFF"/>
    <w:rsid w:val="00B54AFA"/>
    <w:rsid w:val="00B66A5D"/>
    <w:rsid w:val="00B671A4"/>
    <w:rsid w:val="00B804E8"/>
    <w:rsid w:val="00BA54A9"/>
    <w:rsid w:val="00BB559E"/>
    <w:rsid w:val="00BC206C"/>
    <w:rsid w:val="00BC431A"/>
    <w:rsid w:val="00BC5530"/>
    <w:rsid w:val="00BD1396"/>
    <w:rsid w:val="00BD1898"/>
    <w:rsid w:val="00BF5AFA"/>
    <w:rsid w:val="00C006B2"/>
    <w:rsid w:val="00C01A35"/>
    <w:rsid w:val="00C03772"/>
    <w:rsid w:val="00C04EDA"/>
    <w:rsid w:val="00C119A2"/>
    <w:rsid w:val="00C53F1A"/>
    <w:rsid w:val="00C54B54"/>
    <w:rsid w:val="00C57267"/>
    <w:rsid w:val="00C616FF"/>
    <w:rsid w:val="00C62B63"/>
    <w:rsid w:val="00C72B5B"/>
    <w:rsid w:val="00C869F3"/>
    <w:rsid w:val="00CC18AC"/>
    <w:rsid w:val="00CD7D5D"/>
    <w:rsid w:val="00CF0621"/>
    <w:rsid w:val="00CF0FC4"/>
    <w:rsid w:val="00CF6932"/>
    <w:rsid w:val="00D01FE3"/>
    <w:rsid w:val="00D0381E"/>
    <w:rsid w:val="00D06CA3"/>
    <w:rsid w:val="00D07F46"/>
    <w:rsid w:val="00D170E5"/>
    <w:rsid w:val="00D23061"/>
    <w:rsid w:val="00D305FA"/>
    <w:rsid w:val="00D37F2F"/>
    <w:rsid w:val="00D415B9"/>
    <w:rsid w:val="00D50C4A"/>
    <w:rsid w:val="00D528E8"/>
    <w:rsid w:val="00D53759"/>
    <w:rsid w:val="00D771D0"/>
    <w:rsid w:val="00D835CF"/>
    <w:rsid w:val="00DA176F"/>
    <w:rsid w:val="00DA26FB"/>
    <w:rsid w:val="00DA36BE"/>
    <w:rsid w:val="00DB6C3D"/>
    <w:rsid w:val="00DC5ACF"/>
    <w:rsid w:val="00DC698B"/>
    <w:rsid w:val="00DD30CA"/>
    <w:rsid w:val="00DD3573"/>
    <w:rsid w:val="00DD7468"/>
    <w:rsid w:val="00DE25E9"/>
    <w:rsid w:val="00DE71D3"/>
    <w:rsid w:val="00DE72CF"/>
    <w:rsid w:val="00DF08A0"/>
    <w:rsid w:val="00E06E29"/>
    <w:rsid w:val="00E13BEF"/>
    <w:rsid w:val="00E2227D"/>
    <w:rsid w:val="00E255FC"/>
    <w:rsid w:val="00E70760"/>
    <w:rsid w:val="00E9253C"/>
    <w:rsid w:val="00EB3CF0"/>
    <w:rsid w:val="00EB45B5"/>
    <w:rsid w:val="00EB5E57"/>
    <w:rsid w:val="00EB61DB"/>
    <w:rsid w:val="00ED1AD0"/>
    <w:rsid w:val="00ED4AFD"/>
    <w:rsid w:val="00ED6776"/>
    <w:rsid w:val="00EE4FBE"/>
    <w:rsid w:val="00EE6750"/>
    <w:rsid w:val="00F038A1"/>
    <w:rsid w:val="00F06E4E"/>
    <w:rsid w:val="00F238E0"/>
    <w:rsid w:val="00F42E1E"/>
    <w:rsid w:val="00F51E01"/>
    <w:rsid w:val="00F5649A"/>
    <w:rsid w:val="00F61BDB"/>
    <w:rsid w:val="00F67DC5"/>
    <w:rsid w:val="00F82342"/>
    <w:rsid w:val="00F877DB"/>
    <w:rsid w:val="00F91AE4"/>
    <w:rsid w:val="00F93C8B"/>
    <w:rsid w:val="00F94ECC"/>
    <w:rsid w:val="00F959DD"/>
    <w:rsid w:val="00F960D5"/>
    <w:rsid w:val="00FB0C68"/>
    <w:rsid w:val="00FB1231"/>
    <w:rsid w:val="00FC1C5C"/>
    <w:rsid w:val="00FE17E2"/>
    <w:rsid w:val="00FF6E4B"/>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paragraph" w:styleId="Title">
    <w:name w:val="Title"/>
    <w:basedOn w:val="Normal"/>
    <w:link w:val="TitleChar"/>
    <w:qFormat/>
    <w:rsid w:val="00713386"/>
    <w:pPr>
      <w:jc w:val="center"/>
    </w:pPr>
    <w:rPr>
      <w:rFonts w:eastAsia="Calibri"/>
      <w:b/>
    </w:rPr>
  </w:style>
  <w:style w:type="character" w:customStyle="1" w:styleId="TitleChar">
    <w:name w:val="Title Char"/>
    <w:basedOn w:val="DefaultParagraphFont"/>
    <w:link w:val="Title"/>
    <w:rsid w:val="00713386"/>
    <w:rPr>
      <w:rFonts w:ascii="Arial" w:eastAsia="Calibri" w:hAnsi="Arial"/>
      <w:b/>
      <w:sz w:val="24"/>
      <w:lang w:eastAsia="en-US"/>
    </w:rPr>
  </w:style>
  <w:style w:type="paragraph" w:customStyle="1" w:styleId="Default">
    <w:name w:val="Default"/>
    <w:rsid w:val="006762E4"/>
    <w:pPr>
      <w:autoSpaceDE w:val="0"/>
      <w:autoSpaceDN w:val="0"/>
      <w:adjustRightInd w:val="0"/>
    </w:pPr>
    <w:rPr>
      <w:rFonts w:ascii="Symbol" w:eastAsiaTheme="minorHAnsi" w:hAnsi="Symbol" w:cs="Symbol"/>
      <w:color w:val="000000"/>
      <w:sz w:val="24"/>
      <w:szCs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BC5530"/>
    <w:rPr>
      <w:rFonts w:ascii="Arial" w:hAnsi="Arial"/>
      <w:sz w:val="24"/>
      <w:lang w:eastAsia="en-US"/>
    </w:rPr>
  </w:style>
  <w:style w:type="paragraph" w:styleId="Revision">
    <w:name w:val="Revision"/>
    <w:hidden/>
    <w:uiPriority w:val="99"/>
    <w:semiHidden/>
    <w:rsid w:val="00F61BDB"/>
    <w:rPr>
      <w:rFonts w:ascii="Arial" w:hAnsi="Arial"/>
      <w:sz w:val="24"/>
      <w:lang w:eastAsia="en-US"/>
    </w:rPr>
  </w:style>
  <w:style w:type="character" w:styleId="CommentReference">
    <w:name w:val="annotation reference"/>
    <w:basedOn w:val="DefaultParagraphFont"/>
    <w:semiHidden/>
    <w:unhideWhenUsed/>
    <w:rsid w:val="00F61BDB"/>
    <w:rPr>
      <w:sz w:val="16"/>
      <w:szCs w:val="16"/>
    </w:rPr>
  </w:style>
  <w:style w:type="paragraph" w:styleId="CommentText">
    <w:name w:val="annotation text"/>
    <w:basedOn w:val="Normal"/>
    <w:link w:val="CommentTextChar"/>
    <w:semiHidden/>
    <w:unhideWhenUsed/>
    <w:rsid w:val="00F61BDB"/>
    <w:rPr>
      <w:sz w:val="20"/>
    </w:rPr>
  </w:style>
  <w:style w:type="character" w:customStyle="1" w:styleId="CommentTextChar">
    <w:name w:val="Comment Text Char"/>
    <w:basedOn w:val="DefaultParagraphFont"/>
    <w:link w:val="CommentText"/>
    <w:semiHidden/>
    <w:rsid w:val="00F61BDB"/>
    <w:rPr>
      <w:rFonts w:ascii="Arial" w:hAnsi="Arial"/>
      <w:lang w:eastAsia="en-US"/>
    </w:rPr>
  </w:style>
  <w:style w:type="paragraph" w:styleId="CommentSubject">
    <w:name w:val="annotation subject"/>
    <w:basedOn w:val="CommentText"/>
    <w:next w:val="CommentText"/>
    <w:link w:val="CommentSubjectChar"/>
    <w:semiHidden/>
    <w:unhideWhenUsed/>
    <w:rsid w:val="00F61BDB"/>
    <w:rPr>
      <w:b/>
      <w:bCs/>
    </w:rPr>
  </w:style>
  <w:style w:type="character" w:customStyle="1" w:styleId="CommentSubjectChar">
    <w:name w:val="Comment Subject Char"/>
    <w:basedOn w:val="CommentTextChar"/>
    <w:link w:val="CommentSubject"/>
    <w:semiHidden/>
    <w:rsid w:val="00F61BD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348946306">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74612475">
      <w:bodyDiv w:val="1"/>
      <w:marLeft w:val="0"/>
      <w:marRight w:val="0"/>
      <w:marTop w:val="0"/>
      <w:marBottom w:val="0"/>
      <w:divBdr>
        <w:top w:val="none" w:sz="0" w:space="0" w:color="auto"/>
        <w:left w:val="none" w:sz="0" w:space="0" w:color="auto"/>
        <w:bottom w:val="none" w:sz="0" w:space="0" w:color="auto"/>
        <w:right w:val="none" w:sz="0" w:space="0" w:color="auto"/>
      </w:divBdr>
    </w:div>
    <w:div w:id="1224561469">
      <w:bodyDiv w:val="1"/>
      <w:marLeft w:val="0"/>
      <w:marRight w:val="0"/>
      <w:marTop w:val="0"/>
      <w:marBottom w:val="0"/>
      <w:divBdr>
        <w:top w:val="none" w:sz="0" w:space="0" w:color="auto"/>
        <w:left w:val="none" w:sz="0" w:space="0" w:color="auto"/>
        <w:bottom w:val="none" w:sz="0" w:space="0" w:color="auto"/>
        <w:right w:val="none" w:sz="0" w:space="0" w:color="auto"/>
      </w:divBdr>
    </w:div>
    <w:div w:id="1350908485">
      <w:bodyDiv w:val="1"/>
      <w:marLeft w:val="0"/>
      <w:marRight w:val="0"/>
      <w:marTop w:val="0"/>
      <w:marBottom w:val="0"/>
      <w:divBdr>
        <w:top w:val="none" w:sz="0" w:space="0" w:color="auto"/>
        <w:left w:val="none" w:sz="0" w:space="0" w:color="auto"/>
        <w:bottom w:val="none" w:sz="0" w:space="0" w:color="auto"/>
        <w:right w:val="none" w:sz="0" w:space="0" w:color="auto"/>
      </w:divBdr>
    </w:div>
    <w:div w:id="181760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hanna.morgan@harrow,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3753</Words>
  <Characters>19884</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3</cp:revision>
  <cp:lastPrinted>2014-10-31T16:34:00Z</cp:lastPrinted>
  <dcterms:created xsi:type="dcterms:W3CDTF">2023-06-16T12:25:00Z</dcterms:created>
  <dcterms:modified xsi:type="dcterms:W3CDTF">2023-06-19T09:17:00Z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